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17 ID212792 (Brandenburg) — (Freizügigkeit)</w:t>
      </w:r>
    </w:p>
    <w:p>
      <w:r>
        <w:rPr>
          <w:color w:val="555555"/>
          <w:sz w:val="18"/>
        </w:rPr>
        <w:t xml:space="preserve">Verfassung des Landes Brandenburg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Alle Menschen haben das Recht auf Freizügigkeit.</w:t>
      </w:r>
    </w:p>
    <w:p>
      <w:r>
        <w:t xml:space="preserve">(2) Das Recht, sich an jedem beliebigen Ort aufzuhalten und niederzulassen, darf nur durch Gesetz oder aufgrund eines Gesetzes eingeschränkt werden.</w:t>
      </w:r>
    </w:p>
    <w:p>
      <w:r>
        <w:rPr>
          <w:color w:val="555555"/>
          <w:sz w:val="17"/>
        </w:rPr>
        <w:t xml:space="preserve">Zitiervorschlag: Art 17 ID212792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https://recht.nulegal.eu/gesetze/ID212792/17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