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ID212792 (Brandenburg) — (Brief-, Post- und Fernmeldegeheimnis)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Briefgeheimnis sowie das Post- und Fernmeldegeheimnis sind unverletzlich.</w:t>
      </w:r>
    </w:p>
    <w:p>
      <w:r>
        <w:t xml:space="preserve">(2) Eingriffe sind nur aufgrund eines Gesetzes zulässig, das eine parlamentarische Kontrolle vorsehen kann und eine mindestens nachträgliche richterliche Kontrolle vorsehen muss.</w:t>
      </w:r>
    </w:p>
    <w:p>
      <w:r>
        <w:rPr>
          <w:color w:val="555555"/>
          <w:sz w:val="17"/>
        </w:rPr>
        <w:t xml:space="preserve">Zitiervorschlag: Art 16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