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110 ID212792 (Brandenburg) — (Ehrenamtliche Richterinnen und Richter)</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Den ehrenamtlichen Richterinnen und Richtern dürfen durch ihre Tätigkeit keine Nachteile entstehen. Während ihrer Amtszeit ist eine Kündigung oder Entlassung nur zulässig, wenn Tatsachen vorliegen, die die Arbeitgeberin oder den Arbeitgeber oder Dienstherren zur fristlosen Kündigung berechtigen.</w:t>
      </w:r>
    </w:p>
    <w:p>
      <w:r>
        <w:t xml:space="preserve">(2) Ehrenamtliche Richterinnen und Richter können eine Vertretung an den Gerichten wählen, die ihre Interessen wahrnimmt, und haben in ihrer Funktion einen Anspruch auf Weiterbildung.</w:t>
      </w:r>
    </w:p>
    <w:p>
      <w:r>
        <w:rPr>
          <w:color w:val="555555"/>
          <w:sz w:val="17"/>
        </w:rPr>
        <w:t xml:space="preserve">Zitiervorschlag: Art 110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https://recht.nulegal.eu/gesetze/ID212792/110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