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108 ID212792 (Brandenburg) — (Rechtsprechung)</w:t>
      </w:r>
    </w:p>
    <w:p>
      <w:r>
        <w:rPr>
          <w:color w:val="555555"/>
          <w:sz w:val="18"/>
        </w:rPr>
        <w:t xml:space="preserve">Verfassung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Richterinnen und Richter sind unabhängig und nur Recht und Gesetz unterworfen.</w:t>
      </w:r>
    </w:p>
    <w:p>
      <w:r>
        <w:t xml:space="preserve">(2) An der Rechtsprechung sind Frauen und Männer aus dem Volke als ehrenamtliche Richterinnen und Richter nach Maßgabe der Gesetze zu beteiligen.</w:t>
      </w:r>
    </w:p>
    <w:p>
      <w:r>
        <w:rPr>
          <w:color w:val="555555"/>
          <w:sz w:val="17"/>
        </w:rPr>
        <w:t xml:space="preserve">Zitiervorschlag: Art 108 ID212792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https://recht.nulegal.eu/gesetze/ID212792/108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