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6a ID212638 (Brandenburg)</w:t>
      </w:r>
    </w:p>
    <w:p>
      <w:r>
        <w:rPr>
          <w:color w:val="555555"/>
          <w:sz w:val="18"/>
        </w:rPr>
        <w:t xml:space="preserve">Gesetz zur Errichtung der Arbeitsgerichtsbarkeit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zurzeit der Aufhebung des Arbeitsgerichts Eberswalde für dieses berufenen ehrenamtlichen Richterinnen und Richter werden für den Rest ihrer Amtszeit den in Eberswalde bestehenden Kammern des Arbeitsgerichts Frankfurt (Oder) zugewiesen.</w:t>
      </w:r>
    </w:p>
    <w:p>
      <w:r>
        <w:t xml:space="preserve">(2) Die dem Arbeitsgericht Potsdam zugewiesenen ehrenamtlichen Richterinnen und Richter werden ab dem 1. Januar 2023 dem Arbeitsgericht Brandenburg an der Havel für den Rest ihrer Amtszeit zugewiesen.</w:t>
      </w:r>
    </w:p>
    <w:p>
      <w:r>
        <w:t xml:space="preserve">(3) Die den in Senftenberg/ Zły Komorow bestehenden Kammern des Arbeitsgerichts Cottbus/ Chóśebuz zugewiesenen ehrenamtlichen Richterinnen und Richter werden ab dem 1. Januar 2023 dem Arbeitsgericht Cottbus/ Chóśebuz für den Rest ihrer Amtszeit zugewiesen.</w:t>
      </w:r>
    </w:p>
    <w:p>
      <w:r>
        <w:t xml:space="preserve">(4) Die dem Arbeitsgericht Brandenburg an der Havel zugewiesenen ehrenamtlichen Richterinnen und Richter, die wegen ihres Tätigkeits- und Wohnorts im Landkreis Havelland berufen wurden, werden ab dem 1. Januar 2023 dem Arbeitsgericht Neuruppin für den Rest ihrer Amtszeit zugewiesen. Liegen Tätigkeits- und Wohnort nicht in diesem Landkreis, ist für die Zuweisung der Tätigkeitsort maßgeblich.</w:t>
      </w:r>
    </w:p>
    <w:p>
      <w:r>
        <w:rPr>
          <w:color w:val="555555"/>
          <w:sz w:val="17"/>
        </w:rPr>
        <w:t xml:space="preserve">Zitiervorschlag: § 6a ID212638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https://recht.nulegal.eu/gesetze/ID212638/6a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