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ID212638 (Brandenburg)</w:t>
      </w:r>
    </w:p>
    <w:p>
      <w:r>
        <w:rPr>
          <w:color w:val="555555"/>
          <w:sz w:val="18"/>
        </w:rPr>
        <w:t xml:space="preserve">Gesetz zur Errichtung der Arbeitsgerichtsbarkeit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Es halten Gerichtstage ab:</w:t>
      </w:r>
    </w:p>
    <w:p>
      <w:r>
        <w:t xml:space="preserve">das Arbeitsgericht Cottbus/ Chóśebuz in Senftenberg/ Zły Komorow ,</w:t>
      </w:r>
    </w:p>
    <w:p>
      <w:r>
        <w:t xml:space="preserve">das Arbeitsgericht Brandenburg an der Havel in Potsdam.</w:t>
      </w:r>
    </w:p>
    <w:p>
      <w:r>
        <w:rPr>
          <w:color w:val="555555"/>
          <w:sz w:val="17"/>
        </w:rPr>
        <w:t xml:space="preserve">Zitiervorschlag: § 2a ID212638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https://recht.nulegal.eu/gesetze/ID212638/2a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