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ID212557 (Brandenburg) — Bekanntmachung</w:t>
      </w:r>
    </w:p>
    <w:p>
      <w:r>
        <w:rPr>
          <w:color w:val="555555"/>
          <w:sz w:val="18"/>
        </w:rPr>
        <w:t xml:space="preserve">Brandenburgisches Besoldungs- und Versorgungsanpassungsgesetz 2011/2012 (BbgBVAnpG 2011/2012)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Das Ministerium der Finanzen macht die Beträge der nach den §§ 2 und 3 erhöhten Bezüge im Gesetz- und Verordnungsblatt für das Land Brandenburg Teil I durch Neubekanntmachung der</w:t>
      </w:r>
    </w:p>
    <w:p>
      <w:r>
        <w:t xml:space="preserve">Anlagen 1 bis 16 des Brandenburgischen Besoldungs- und Versorgungsanpassungsgesetzes 2008 und der Anlage 2 des Brandenburgischen Besoldungsgesetzes bekannt.</w:t>
      </w:r>
    </w:p>
    <w:p>
      <w:r>
        <w:rPr>
          <w:color w:val="555555"/>
          <w:sz w:val="17"/>
        </w:rPr>
        <w:t xml:space="preserve">Zitiervorschlag: § 8 ID212557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https://recht.nulegal.eu/gesetze/ID212557/8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