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ID212557 (Brandenburg) — Rundungsregelung</w:t>
      </w:r>
    </w:p>
    <w:p>
      <w:r>
        <w:rPr>
          <w:color w:val="555555"/>
          <w:sz w:val="18"/>
        </w:rPr>
        <w:t xml:space="preserve">Brandenburgisches Besoldungs- und Versorgungsanpassungsgesetz 2011/2012 (BbgBVAnpG 2011/2012)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der Berechnung der nach</w:t>
      </w:r>
    </w:p>
    <w:p>
      <w:r>
        <w:t xml:space="preserve">den §§ 2 und 3 erhöhten Bezüge sind die sich ergebenden Bruchteile eines Cents hinsichtlich der Beträge des Familienzuschlags der Stufe 1 auf den nächsten durch zwei teilbaren Centbetrag aufzurunden. Im Übrigen sind Bruchteile eines Cents unter 0,5 abzurunden und Bruchteile von 0,5 und mehr aufzurunden.</w:t>
      </w:r>
    </w:p>
    <w:p>
      <w:r>
        <w:rPr>
          <w:color w:val="555555"/>
          <w:sz w:val="17"/>
        </w:rPr>
        <w:t xml:space="preserve">Zitiervorschlag: § 4 ID212557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https://recht.nulegal.eu/gesetze/ID212557/4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