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ID212557 (Brandenburg) — Geltungsbereich</w:t>
      </w:r>
    </w:p>
    <w:p>
      <w:r>
        <w:rPr>
          <w:color w:val="555555"/>
          <w:sz w:val="18"/>
        </w:rPr>
        <w:t xml:space="preserve">Brandenburgisches Besoldungs- und Versorgungsanpassungsgesetz 2011/2012 (BbgBVAnpG 2011/2012)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für die</w:t>
      </w:r>
    </w:p>
    <w:p>
      <w:r>
        <w:t xml:space="preserve">Beamtinnen und Beamten des Landes, der Gemeinden, der Gemeindeverbände und der sonstigen der Aufsicht des Landes unterstehenden Körperschaften, Anstalten und Stiftungen des öffentlichen</w:t>
      </w:r>
    </w:p>
    <w:p>
      <w:r>
        <w:t xml:space="preserve">Rechts,</w:t>
      </w:r>
    </w:p>
    <w:p>
      <w:r>
        <w:t xml:space="preserve">Richterinnen und Richter des Landes,</w:t>
      </w:r>
    </w:p>
    <w:p>
      <w:r>
        <w:t xml:space="preserve">Versorgungsempfängerinnen und Versorgungsempfänger, denen laufende Versorgungsbezüge zustehen, die das Land, eine Gemeinde, ein Gemeindeverband oder eine der sonstigen der</w:t>
      </w:r>
    </w:p>
    <w:p>
      <w:r>
        <w:t xml:space="preserve">Aufsicht des Landes unterstehenden Körperschaften, Anstalten oder Stiftungen des öffentlichen Rechts zu tragen hat.</w:t>
      </w:r>
    </w:p>
    <w:p>
      <w:r>
        <w:t xml:space="preserve">(2) Dieses Gesetz gilt nicht für Ehrenbeamtinnen und Ehrenbeamte sowie für ehrenamtliche Richterinnen und Richter.</w:t>
      </w:r>
    </w:p>
    <w:p>
      <w:r>
        <w:t xml:space="preserve">(3) Dieses Gesetz gilt nicht für öffentlich-rechtliche Religionsgesellschaften und ihre Verbände.</w:t>
      </w:r>
    </w:p>
    <w:p>
      <w:r>
        <w:rPr>
          <w:color w:val="555555"/>
          <w:sz w:val="17"/>
        </w:rPr>
        <w:t xml:space="preserve">Zitiervorschlag: § 1 ID212557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https://recht.nulegal.eu/gesetze/ID212557/1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