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ID212543 (Brandenburg) — Errichtung</w:t>
      </w:r>
    </w:p>
    <w:p>
      <w:r>
        <w:rPr>
          <w:color w:val="555555"/>
          <w:sz w:val="18"/>
        </w:rPr>
        <w:t xml:space="preserve">Gesetz zur Errichtung des Polizeipräsidiums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Zusammenführung der</w:t>
      </w:r>
    </w:p>
    <w:p>
      <w:r>
        <w:t xml:space="preserve">Polizeipräsidien Frankfurt (Oder) und Potsdam, des Landeskriminalamtes und der</w:t>
      </w:r>
    </w:p>
    <w:p>
      <w:r>
        <w:t xml:space="preserve">Landeseinsatzeinheit der Polizei wird ein Polizeipräsidium als Landesoberbehörde</w:t>
      </w:r>
    </w:p>
    <w:p>
      <w:r>
        <w:t xml:space="preserve">nach § 10 des Landesorganisationsgesetzes errichtet.</w:t>
      </w:r>
    </w:p>
    <w:p>
      <w:r>
        <w:rPr>
          <w:color w:val="555555"/>
          <w:sz w:val="17"/>
        </w:rPr>
        <w:t xml:space="preserve">Zitiervorschlag: § 1 ID212543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https://recht.nulegal.eu/gesetze/ID212543/1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