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ID212375 (Brandenburg) — Gleichstellung</w:t>
      </w:r>
    </w:p>
    <w:p>
      <w:r>
        <w:rPr>
          <w:color w:val="555555"/>
          <w:sz w:val="18"/>
        </w:rPr>
        <w:t xml:space="preserve">Brandenburgisches Besoldungs- und Versorgungsanpassungsgesetz 2009/2010 (BbgBVAnpG 2009/2010)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in diesem</w:t>
      </w:r>
    </w:p>
    <w:p>
      <w:r>
        <w:t xml:space="preserve">Gesetz verwendeten Funktions-, Status- und anderen Bezeichnungen gelten für</w:t>
      </w:r>
    </w:p>
    <w:p>
      <w:r>
        <w:t xml:space="preserve">Frauen und Männer.</w:t>
      </w:r>
    </w:p>
    <w:p>
      <w:r>
        <w:rPr>
          <w:color w:val="555555"/>
          <w:sz w:val="17"/>
        </w:rPr>
        <w:t xml:space="preserve">Zitiervorschlag: § 6 ID212375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https://recht.nulegal.eu/gesetze/ID212375/6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