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ID212375 (Brandenburg) — Bekanntmachung der geänderten Beträge</w:t>
      </w:r>
    </w:p>
    <w:p>
      <w:r>
        <w:rPr>
          <w:color w:val="555555"/>
          <w:sz w:val="18"/>
        </w:rPr>
        <w:t xml:space="preserve">Brandenburgisches Besoldungs- und Versorgungsanpassungsgesetz 2009/2010 (BbgBVAnpG 2009/2010)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Ministerium der</w:t>
      </w:r>
    </w:p>
    <w:p>
      <w:r>
        <w:t xml:space="preserve">Finanzen macht die Beträge der nach § 1 erhöhten Bezüge sowie die sich aus der</w:t>
      </w:r>
    </w:p>
    <w:p>
      <w:r>
        <w:t xml:space="preserve">Anwendung der § 2 Absatz 1 und § 3 Absatz 2 der Zweiten</w:t>
      </w:r>
    </w:p>
    <w:p>
      <w:r>
        <w:t xml:space="preserve">Besoldungs-Übergangsverordnung ergebenden Beträge dieser Bezüge im Gesetz- und</w:t>
      </w:r>
    </w:p>
    <w:p>
      <w:r>
        <w:t xml:space="preserve">Verordnungsblatt für das Land Brandenburg Teil I durch Neubekanntmachung der</w:t>
      </w:r>
    </w:p>
    <w:p>
      <w:r>
        <w:t xml:space="preserve">Anlagen 1 bis 23 des Brandenburgischen Besoldungs- und</w:t>
      </w:r>
    </w:p>
    <w:p>
      <w:r>
        <w:t xml:space="preserve">Versorgungsanpassungsgesetzes 2008 und der Anlage 2 des Brandenburgischen</w:t>
      </w:r>
    </w:p>
    <w:p>
      <w:r>
        <w:t xml:space="preserve">Besoldungsgesetzes bekannt.</w:t>
      </w:r>
    </w:p>
    <w:p>
      <w:r>
        <w:rPr>
          <w:color w:val="555555"/>
          <w:sz w:val="17"/>
        </w:rPr>
        <w:t xml:space="preserve">Zitiervorschlag: § 5 ID212375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https://recht.nulegal.eu/gesetze/ID212375/5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