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ID212375 (Brandenburg) — Gewährung der Einmalzahlung</w:t>
      </w:r>
    </w:p>
    <w:p>
      <w:r>
        <w:rPr>
          <w:color w:val="555555"/>
          <w:sz w:val="18"/>
        </w:rPr>
        <w:t xml:space="preserve">Brandenburgisches Besoldungs- und Versorgungsanpassungsgesetz 2009/2010 (BbgBVAnpG 2009/2010)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</w:t>
      </w:r>
    </w:p>
    <w:p>
      <w:r>
        <w:t xml:space="preserve">Einmalzahlung nach § 3 Absatz 1 wird jedem Berechtigten nur einmal gewährt. Bei</w:t>
      </w:r>
    </w:p>
    <w:p>
      <w:r>
        <w:t xml:space="preserve">mehreren Dienstverhältnissen gilt § 5 des Bundesbesoldungsgesetzes in der am 31.</w:t>
      </w:r>
    </w:p>
    <w:p>
      <w:r>
        <w:t xml:space="preserve">August 2006 geltenden Fassung entsprechend.</w:t>
      </w:r>
    </w:p>
    <w:p>
      <w:r>
        <w:t xml:space="preserve">(2) Im Jahr 2009</w:t>
      </w:r>
    </w:p>
    <w:p>
      <w:r>
        <w:t xml:space="preserve">gewährte vergleichbare Einmalzahlungen aus einem anderen Rechts- oder</w:t>
      </w:r>
    </w:p>
    <w:p>
      <w:r>
        <w:t xml:space="preserve">Arbeitsverhältnis im öffentlichen Dienst (§ 40 Absatz 6 des</w:t>
      </w:r>
    </w:p>
    <w:p>
      <w:r>
        <w:t xml:space="preserve">Bundesbesoldungsgesetzes in der am 31. August 2006 geltenden Fassung) werden auf</w:t>
      </w:r>
    </w:p>
    <w:p>
      <w:r>
        <w:t xml:space="preserve">die Einmalzahlung angerechnet. Dem öffentlichen Dienst im Sinne des Satzes 1</w:t>
      </w:r>
    </w:p>
    <w:p>
      <w:r>
        <w:t xml:space="preserve">steht der Dienst bei öffentlich-rechtlichen Religionsgesellschaften und ihren</w:t>
      </w:r>
    </w:p>
    <w:p>
      <w:r>
        <w:t xml:space="preserve">Verbänden gleich.</w:t>
      </w:r>
    </w:p>
    <w:p>
      <w:r>
        <w:t xml:space="preserve">(3) Die</w:t>
      </w:r>
    </w:p>
    <w:p>
      <w:r>
        <w:t xml:space="preserve">Einmalzahlung bleibt bei sonstigen Besoldungs- und Versorgungsleistungen</w:t>
      </w:r>
    </w:p>
    <w:p>
      <w:r>
        <w:t xml:space="preserve">unberücksichtigt.</w:t>
      </w:r>
    </w:p>
    <w:p>
      <w:r>
        <w:t xml:space="preserve">(4) Bei der</w:t>
      </w:r>
    </w:p>
    <w:p>
      <w:r>
        <w:t xml:space="preserve">Anwendung von Ruhens- und Anrechnungsvorschriften nach dem</w:t>
      </w:r>
    </w:p>
    <w:p>
      <w:r>
        <w:t xml:space="preserve">Beamtenversorgungsgesetz ist die Einmalzahlung oder eine entsprechende Leistung,</w:t>
      </w:r>
    </w:p>
    <w:p>
      <w:r>
        <w:t xml:space="preserve">die der Versorgungsberechtigte aus einer Erwerbstätigkeit oder zu weiteren</w:t>
      </w:r>
    </w:p>
    <w:p>
      <w:r>
        <w:t xml:space="preserve">Versorgungsbezügen erhält, in dem jeweiligen Auszahlungsmonat zu</w:t>
      </w:r>
    </w:p>
    <w:p>
      <w:r>
        <w:t xml:space="preserve">berücksichtigen. Die bei der Anwendung der Ruhensvorschriften nach den in § 2</w:t>
      </w:r>
    </w:p>
    <w:p>
      <w:r>
        <w:t xml:space="preserve">des Zweiten Beamtenversorgungsergänzungsgesetzes vom 19. Dezember 2008 (GVBl. I</w:t>
      </w:r>
    </w:p>
    <w:p>
      <w:r>
        <w:t xml:space="preserve">S. 363, 364), das zuletzt durch Artikel 8 des Gesetzes vom 3. April 2009 (GVBl.</w:t>
      </w:r>
    </w:p>
    <w:p>
      <w:r>
        <w:t xml:space="preserve">I S. 26, 58) geändert worden ist, und § 54 des Beamtenversorgungsgesetzes in der</w:t>
      </w:r>
    </w:p>
    <w:p>
      <w:r>
        <w:t xml:space="preserve">am 31. August 2006 geltenden Fassung bestimmten Höchstgrenzen erhöhen sich</w:t>
      </w:r>
    </w:p>
    <w:p>
      <w:r>
        <w:t xml:space="preserve">jeweils um den nach der maßgebenden Höchstgrenze berechneten Betrag der</w:t>
      </w:r>
    </w:p>
    <w:p>
      <w:r>
        <w:t xml:space="preserve">Einmalzahlung.</w:t>
      </w:r>
    </w:p>
    <w:p>
      <w:r>
        <w:rPr>
          <w:color w:val="555555"/>
          <w:sz w:val="17"/>
        </w:rPr>
        <w:t xml:space="preserve">Zitiervorschlag: § 4 ID212375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https://recht.nulegal.eu/gesetze/ID212375/4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