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ID212375 (Brandenburg) — Einmalzahlung im Jahr 2009</w:t>
      </w:r>
    </w:p>
    <w:p>
      <w:r>
        <w:rPr>
          <w:color w:val="555555"/>
          <w:sz w:val="18"/>
        </w:rPr>
        <w:t xml:space="preserve">Brandenburgisches Besoldungs- und Versorgungsanpassungsgesetz 2009/2010 (BbgBVAnpG 2009/2010)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Beamte und</w:t>
      </w:r>
    </w:p>
    <w:p>
      <w:r>
        <w:t xml:space="preserve">Richter, die mindestens für einen Tag des Monats Februar 2009 Anspruch auf</w:t>
      </w:r>
    </w:p>
    <w:p>
      <w:r>
        <w:t xml:space="preserve">Dienstbezüge aus einem Beamten- und Richterverhältnis hatten, das am 2. Januar</w:t>
      </w:r>
    </w:p>
    <w:p>
      <w:r>
        <w:t xml:space="preserve">2009 bereits bestanden hat, erhalten eine Einmalzahlung in Höhe von 40 Euro für</w:t>
      </w:r>
    </w:p>
    <w:p>
      <w:r>
        <w:t xml:space="preserve">den Monat Februar. § 6 Absatz 1 und § 72a Absatz 1 des Bundesbesoldungsgesetzes</w:t>
      </w:r>
    </w:p>
    <w:p>
      <w:r>
        <w:t xml:space="preserve">in der am 31. August 2006 geltenden Fassung gelten entsprechend; maßgebend sind</w:t>
      </w:r>
    </w:p>
    <w:p>
      <w:r>
        <w:t xml:space="preserve">die Verhältnisse am 1. Februar 2009. Soweit an diesem Tag kein Anspruch auf</w:t>
      </w:r>
    </w:p>
    <w:p>
      <w:r>
        <w:t xml:space="preserve">Dienstbezüge bestanden hat, ist maßgebend der erste Tag mit Anspruch auf</w:t>
      </w:r>
    </w:p>
    <w:p>
      <w:r>
        <w:t xml:space="preserve">Dienstbezüge im Monat Februar 2009.</w:t>
      </w:r>
    </w:p>
    <w:p>
      <w:r>
        <w:t xml:space="preserve">(2) Am 1. Februar</w:t>
      </w:r>
    </w:p>
    <w:p>
      <w:r>
        <w:t xml:space="preserve">2009 vorhandene Empfänger von laufenden Versorgungsbezügen erhalten eine</w:t>
      </w:r>
    </w:p>
    <w:p>
      <w:r>
        <w:t xml:space="preserve">Einmalzahlung, die sich nach dem jeweils maßgebenden Ruhegehaltssatz und den</w:t>
      </w:r>
    </w:p>
    <w:p>
      <w:r>
        <w:t xml:space="preserve">Anteilssätzen des Witwen- und Waisengeldes sowie des Unterhaltsbeitrages aus dem</w:t>
      </w:r>
    </w:p>
    <w:p>
      <w:r>
        <w:t xml:space="preserve">Betrag von 40 Euro ergibt. Zu den laufenden Versorgungsbezügen rechnet nicht der</w:t>
      </w:r>
    </w:p>
    <w:p>
      <w:r>
        <w:t xml:space="preserve">Unfallausgleich nach § 35 des Beamtenversorgungsgesetzes in der am 31. August</w:t>
      </w:r>
    </w:p>
    <w:p>
      <w:r>
        <w:t xml:space="preserve">2006 geltenden Fassung. § 49 Absatz 8 des Beamtenversorgungsgesetzes in der am</w:t>
      </w:r>
    </w:p>
    <w:p>
      <w:r>
        <w:t xml:space="preserve">31. August 2006 geltenden Fassung gilt entsprechend. Satz 1 gilt nicht für</w:t>
      </w:r>
    </w:p>
    <w:p>
      <w:r>
        <w:t xml:space="preserve">Personen, denen für den Monat Februar 2009 ein Unterhaltsbeitrag durch</w:t>
      </w:r>
    </w:p>
    <w:p>
      <w:r>
        <w:t xml:space="preserve">Gnadenerweis oder Disziplinarentscheidung zusteht oder die Übergangsgeld nach</w:t>
      </w:r>
    </w:p>
    <w:p>
      <w:r>
        <w:t xml:space="preserve">den §§ 47 und 47a des Beamtenversorgungsgesetzes in der am 31. August 2006</w:t>
      </w:r>
    </w:p>
    <w:p>
      <w:r>
        <w:t xml:space="preserve">geltenden Fassung erhalten.</w:t>
      </w:r>
    </w:p>
    <w:p>
      <w:r>
        <w:rPr>
          <w:color w:val="555555"/>
          <w:sz w:val="17"/>
        </w:rPr>
        <w:t xml:space="preserve">Zitiervorschlag: § 3 ID212375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https://recht.nulegal.eu/gesetze/ID212375/3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