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ID212375 (Brandenburg) — Anpassung der Besoldung</w:t>
      </w:r>
    </w:p>
    <w:p>
      <w:r>
        <w:rPr>
          <w:color w:val="555555"/>
          <w:sz w:val="18"/>
        </w:rPr>
        <w:t xml:space="preserve">Brandenburgisches Besoldungs- und Versorgungsanpassungsgesetz 2009/2010 (BbgBVAnpG 2009/2010)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den</w:t>
      </w:r>
    </w:p>
    <w:p>
      <w:r>
        <w:t xml:space="preserve">Anlagen 1 bis 16 des Brandenburgischen Besoldungs- und</w:t>
      </w:r>
    </w:p>
    <w:p>
      <w:r>
        <w:t xml:space="preserve">Versorgungsanpassungsgesetzes 2008 vom 21. November 2007 (GVBl. I S. 158), das</w:t>
      </w:r>
    </w:p>
    <w:p>
      <w:r>
        <w:t xml:space="preserve">durch Artikel 2 des Gesetzes vom 19. Dezember 2008 (GVBl. I S. 363) geändert</w:t>
      </w:r>
    </w:p>
    <w:p>
      <w:r>
        <w:t xml:space="preserve">worden ist, und in Anlage 2 des Brandenburgischen Besoldungsgesetzes in der</w:t>
      </w:r>
    </w:p>
    <w:p>
      <w:r>
        <w:t xml:space="preserve">Fassung der Bekanntmachung vom 10. Januar 2005 (GVBl. I S. 38), das zuletzt</w:t>
      </w:r>
    </w:p>
    <w:p>
      <w:r>
        <w:t xml:space="preserve">durch Artikel 4 des Gesetzes vom 19. Dezember 2008 (GVBl. I S. 367, 369)</w:t>
      </w:r>
    </w:p>
    <w:p>
      <w:r>
        <w:t xml:space="preserve">geändert worden ist, ausgewiesenen Dienst- und sonstigen Bezüge werden ab 1.</w:t>
      </w:r>
    </w:p>
    <w:p>
      <w:r>
        <w:t xml:space="preserve">März 2009 wie folgt erhöht:</w:t>
      </w:r>
    </w:p>
    <w:p>
      <w:r>
        <w:t xml:space="preserve">die</w:t>
      </w:r>
    </w:p>
    <w:p>
      <w:r>
        <w:t xml:space="preserve">Grundgehaltssätze um jeweils 20 Euro und</w:t>
      </w:r>
    </w:p>
    <w:p>
      <w:r>
        <w:t xml:space="preserve">die</w:t>
      </w:r>
    </w:p>
    <w:p>
      <w:r>
        <w:t xml:space="preserve">Anwärtergrundbeträge um jeweils 60 Euro sowie</w:t>
      </w:r>
    </w:p>
    <w:p>
      <w:r>
        <w:t xml:space="preserve">um 3,0 Prozent</w:t>
      </w:r>
    </w:p>
    <w:p>
      <w:r>
        <w:t xml:space="preserve">die</w:t>
      </w:r>
    </w:p>
    <w:p>
      <w:r>
        <w:t xml:space="preserve">Grundgehaltssätze,</w:t>
      </w:r>
    </w:p>
    <w:p>
      <w:r>
        <w:t xml:space="preserve">der</w:t>
      </w:r>
    </w:p>
    <w:p>
      <w:r>
        <w:t xml:space="preserve">Familienzuschlag mit Ausnahme der Erhöhungsbeträge für die</w:t>
      </w:r>
    </w:p>
    <w:p>
      <w:r>
        <w:t xml:space="preserve">Besoldungsgruppen A 2 bis A 5,</w:t>
      </w:r>
    </w:p>
    <w:p>
      <w:r>
        <w:t xml:space="preserve">die</w:t>
      </w:r>
    </w:p>
    <w:p>
      <w:r>
        <w:t xml:space="preserve">Amtszulagen, auch soweit sie landesrechtlich geregelt sind, sowie die</w:t>
      </w:r>
    </w:p>
    <w:p>
      <w:r>
        <w:t xml:space="preserve">allgemeine Stellenzulage nach Vorbemerkung Nummer 27 der</w:t>
      </w:r>
    </w:p>
    <w:p>
      <w:r>
        <w:t xml:space="preserve">Bundesbesoldungsordnungen A und B,</w:t>
      </w:r>
    </w:p>
    <w:p>
      <w:r>
        <w:t xml:space="preserve">der</w:t>
      </w:r>
    </w:p>
    <w:p>
      <w:r>
        <w:t xml:space="preserve">Auslandszuschlag und der Auslandskinderzuschlag.</w:t>
      </w:r>
    </w:p>
    <w:p>
      <w:r>
        <w:t xml:space="preserve">(2) Absatz 1 Nummer</w:t>
      </w:r>
    </w:p>
    <w:p>
      <w:r>
        <w:t xml:space="preserve">3 gilt entsprechend für</w:t>
      </w:r>
    </w:p>
    <w:p>
      <w:r>
        <w:t xml:space="preserve">die</w:t>
      </w:r>
    </w:p>
    <w:p>
      <w:r>
        <w:t xml:space="preserve">Leistungsbezüge nach § 33 Absatz 1 des Bundesbesoldungsgesetzes in der am</w:t>
      </w:r>
    </w:p>
    <w:p>
      <w:r>
        <w:t xml:space="preserve">31. August 2006 geltenden Fassung, soweit sie gemäß § 2a Absatz 6 des</w:t>
      </w:r>
    </w:p>
    <w:p>
      <w:r>
        <w:t xml:space="preserve">Brandenburgischen Besoldungsgesetzes, § 2 Absatz 3 der</w:t>
      </w:r>
    </w:p>
    <w:p>
      <w:r>
        <w:t xml:space="preserve">Hochschulleistungsbezügeverordnung vom 23. März 2005 (GVBl. II S. 152) oder</w:t>
      </w:r>
    </w:p>
    <w:p>
      <w:r>
        <w:t xml:space="preserve">gemäß § 3 Absatz 2 der Leistungsbezügeverordnung FHPol vom 3. August 2005 (GVBl.</w:t>
      </w:r>
    </w:p>
    <w:p>
      <w:r>
        <w:t xml:space="preserve">II S. 454), die durch Artikel 4 des Gesetzes vom 24. Oktober 2007 (GVBl. I</w:t>
      </w:r>
    </w:p>
    <w:p>
      <w:r>
        <w:t xml:space="preserve">S. 134, 140) geändert worden ist, an den regelmäßigen Besoldungsanpassungen</w:t>
      </w:r>
    </w:p>
    <w:p>
      <w:r>
        <w:t xml:space="preserve">teilnehmen,</w:t>
      </w:r>
    </w:p>
    <w:p>
      <w:r>
        <w:t xml:space="preserve">den Betrag nach</w:t>
      </w:r>
    </w:p>
    <w:p>
      <w:r>
        <w:t xml:space="preserve">§ 4 Absatz 1 Nummer 1 der Erschwerniszulagenverordnung in der am 31. August</w:t>
      </w:r>
    </w:p>
    <w:p>
      <w:r>
        <w:t xml:space="preserve">2006 geltenden Fassung,</w:t>
      </w:r>
    </w:p>
    <w:p>
      <w:r>
        <w:t xml:space="preserve">die Beträge</w:t>
      </w:r>
    </w:p>
    <w:p>
      <w:r>
        <w:t xml:space="preserve">nach § 4 Absatz 1 und 3 der Verordnung über die Gewährung von</w:t>
      </w:r>
    </w:p>
    <w:p>
      <w:r>
        <w:t xml:space="preserve">Mehrarbeitsvergütung für Beamte in der am 31. August 2006 geltenden Fassung</w:t>
      </w:r>
    </w:p>
    <w:p>
      <w:r>
        <w:t xml:space="preserve">und</w:t>
      </w:r>
    </w:p>
    <w:p>
      <w:r>
        <w:t xml:space="preserve">die in § 2</w:t>
      </w:r>
    </w:p>
    <w:p>
      <w:r>
        <w:t xml:space="preserve">Absatz 1 Nummer 6 bis 10 des Brandenburgischen Besoldungs- und</w:t>
      </w:r>
    </w:p>
    <w:p>
      <w:r>
        <w:t xml:space="preserve">Versorgungsanpassungsgesetzes 2008 genannten Bezüge.</w:t>
      </w:r>
    </w:p>
    <w:p>
      <w:r>
        <w:t xml:space="preserve">(3) Ab 1. März 2010</w:t>
      </w:r>
    </w:p>
    <w:p>
      <w:r>
        <w:t xml:space="preserve">werden die in den Absätzen 1 und 2 genannten Bezüge um 1,2 Prozent erhöht.</w:t>
      </w:r>
    </w:p>
    <w:p>
      <w:r>
        <w:t xml:space="preserve">(4) § 2 Absatz 1</w:t>
      </w:r>
    </w:p>
    <w:p>
      <w:r>
        <w:t xml:space="preserve">und § 3 Absatz 2 der Zweiten Besoldungs-Übergangsverordnung in der am 31. August</w:t>
      </w:r>
    </w:p>
    <w:p>
      <w:r>
        <w:t xml:space="preserve">2006 geltenden Fassung sind auf die nach den Absätzen 1 und 2 erhöhten Bezüge</w:t>
      </w:r>
    </w:p>
    <w:p>
      <w:r>
        <w:t xml:space="preserve">anzuwenden.</w:t>
      </w:r>
    </w:p>
    <w:p>
      <w:r>
        <w:rPr>
          <w:color w:val="555555"/>
          <w:sz w:val="17"/>
        </w:rPr>
        <w:t xml:space="preserve">Zitiervorschlag: § 1 ID212375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https://recht.nulegal.eu/gesetze/ID212375/1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