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ID212370 (Brandenburg) — Organisationsform</w:t>
      </w:r>
    </w:p>
    <w:p>
      <w:r>
        <w:rPr>
          <w:color w:val="555555"/>
          <w:sz w:val="18"/>
        </w:rPr>
        <w:t xml:space="preserve">Gesetz zur Errichtung des Landesbetriebs „Forst Brandenburg“ und zur Auflösung der Ämter für Forstwirtschaft des Landes Brandenburg und der Landesforstanstalt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</w:t>
      </w:r>
    </w:p>
    <w:p>
      <w:r>
        <w:t xml:space="preserve">Geschäftsbereich des für Forsten zuständigen Mitgliedes der Landesregierung wird</w:t>
      </w:r>
    </w:p>
    <w:p>
      <w:r>
        <w:t xml:space="preserve">der Landesbetrieb „Forst Brandenburg“ errichtet. Die Ämter für Forstwirtschaft</w:t>
      </w:r>
    </w:p>
    <w:p>
      <w:r>
        <w:t xml:space="preserve">Alt Ruppin, Belzig, Doberlug-Kirchhain, Eberswalde, Kyritz, Lübben, Müllrose,</w:t>
      </w:r>
    </w:p>
    <w:p>
      <w:r>
        <w:t xml:space="preserve">Peitz, Templin und Wünsdorf sowie die Landesforstanstalt Eberswalde (LFE) werden</w:t>
      </w:r>
    </w:p>
    <w:p>
      <w:r>
        <w:t xml:space="preserve">aufgelöst und deren Aufgaben in dem Landesbetrieb „Forst Brandenburg“ (LFB)</w:t>
      </w:r>
    </w:p>
    <w:p>
      <w:r>
        <w:t xml:space="preserve">zusammengeführt.</w:t>
      </w:r>
    </w:p>
    <w:p>
      <w:r>
        <w:t xml:space="preserve">(2) Das für Forsten</w:t>
      </w:r>
    </w:p>
    <w:p>
      <w:r>
        <w:t xml:space="preserve">zuständige Mitglied der Landesregierung wird ermächtigt, das Nähere zu</w:t>
      </w:r>
    </w:p>
    <w:p>
      <w:r>
        <w:t xml:space="preserve">Betriebsführung, Dienst- und Fachaufsicht sowie die Grundsätze der</w:t>
      </w:r>
    </w:p>
    <w:p>
      <w:r>
        <w:t xml:space="preserve">Aufgabenerledigung und Wirtschaftsführung im Einvernehmen mit dem für Finanzen</w:t>
      </w:r>
    </w:p>
    <w:p>
      <w:r>
        <w:t xml:space="preserve">und dem für Inneres zuständigen Mitglied der Landesregierung in einem Erlass zu</w:t>
      </w:r>
    </w:p>
    <w:p>
      <w:r>
        <w:t xml:space="preserve">regeln.</w:t>
      </w:r>
    </w:p>
    <w:p>
      <w:r>
        <w:rPr>
          <w:color w:val="555555"/>
          <w:sz w:val="17"/>
        </w:rPr>
        <w:t xml:space="preserve">Zitiervorschlag: § 1 ID212370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