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ID212227 (Brandenburg) — Form der öffentlichen Bekanntmachungen</w:t>
      </w:r>
    </w:p>
    <w:p>
      <w:r>
        <w:rPr>
          <w:color w:val="555555"/>
          <w:sz w:val="18"/>
        </w:rPr>
        <w:t xml:space="preserve">Gesetz zur rechtlichen Stabilisierung der Zweckverbände für Wasserversorgung und Abwasserbeseitigung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Fehlt in der Verbandssatzung eine wirksame Regelung zur Form der öffentlichen Bekanntmachungen, gilt die von dem Zweckverband verwendete Bekanntmachungsform als vereinbart, sofern sie geeignet war und ist, den Bekanntmachungsgegenstand allen betroffenen Einwohnern zur Kenntnis zu bringen.</w:t>
      </w:r>
    </w:p>
    <w:p>
      <w:r>
        <w:t xml:space="preserve">(2) Ist eine einheitliche wirksame Bekanntmachungsform nach Absatz 1 nicht feststellbar, gilt folgende Regelung als vereinbart:</w:t>
      </w:r>
    </w:p>
    <w:p>
      <w:r>
        <w:t xml:space="preserve">Die öffentlichen Bekanntmachungen des Verbandes werden im Veröffentlichungsblatt der Aufsichtsbehörde bekanntgemacht. Die Verbandsmitglieder haben in der für ihre Bekanntmachungen vorgeschriebenen Form auf die Veröffentlichung hinzuweisen. Sind Pläne, Karten oder Zeichnungen Bestandteile einer Satzung, kann die öffentliche Bekanntmachung dieser Teile nach Satz 1 dadurch ersetzt werden, daß sie im Verwaltungsgebäude des Verbandes für mindestens zwei Wochen ausgelegt werden. Die Ersatzbekanntmachung ist nur zulässig, wenn der Inhalt dieser Teile zugleich in der Satzung in groben Zügen umschrieben wird. Auf die Ersatzbekanntmachung ist unter Angabe des Ortes und der Dauer der Auslegung in der öffentlichen Bekanntmachung nach Satz 1 hinzuweisen.</w:t>
      </w:r>
    </w:p>
    <w:p>
      <w:r>
        <w:t xml:space="preserve">(3) Öffentliche Bekanntmachungen des Zweckverbandes vor Inkrafttreten dieses Gesetzes sind nicht deshalb fehlerhaft, weil sie in einer anderen als der vereinbarten oder als vereinbart geltenden Bekanntmachungsform erfolgt sind, sofern diese Bekanntmachungen geeignet waren, den Bekanntmachungsgegenstand allen betroffenen Einwohnern zur Kenntnis zu bringen.</w:t>
      </w:r>
    </w:p>
    <w:p>
      <w:r>
        <w:rPr>
          <w:color w:val="555555"/>
          <w:sz w:val="17"/>
        </w:rPr>
        <w:t xml:space="preserve">Zitiervorschlag: § 9 ID212227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https://recht.nulegal.eu/gesetze/ID212227/9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