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ID212227 (Brandenburg) — Erleichterter Austritt</w:t>
      </w:r>
    </w:p>
    <w:p>
      <w:r>
        <w:rPr>
          <w:color w:val="555555"/>
          <w:sz w:val="18"/>
        </w:rPr>
        <w:t xml:space="preserve">Gesetz zur rechtlichen Stabilisierung der Zweckverbände für Wasserversorgung und Abwasserbeseitigung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Verbandsmitglieder, deren Vertretungskörperschaften keinen Beschluß zur Verbandsbildung gefaßt haben, sowie Verbandsmitglieder der Zweckverbände, deren Verbandssatzung aufgrund des § 10 Abs. 2 geändert wird, können innerhalb eines Monats nach der Bekanntmachung gemäß § 14 Abs. 1 ihren Austritt aus dem Zweckverband erklären.</w:t>
      </w:r>
    </w:p>
    <w:p>
      <w:r>
        <w:t xml:space="preserve">(2) Der Austritt bedarf der Genehmigung der Aufsichtsbehörde. Die Genehmigung ist zu erteilen, wenn die Voraussetzungen nach Absatz 1 vorliegen, die Auseinandersetzung der Beteiligten geregelt ist und dringende Gründe des öffentlichen Wohls nicht entgegenstehen. Falls sich die Beteiligten über die Auseinandersetzung nicht einigen, entscheidet darüber die Aufsichtsbehörde.</w:t>
      </w:r>
    </w:p>
    <w:p>
      <w:r>
        <w:t xml:space="preserve">(3) Ein Austritt nach den Vorschriften des Gesetzes über kommunale Gemeinschaftsarbeit im Land Brandenburg bleibt unberührt.</w:t>
      </w:r>
    </w:p>
    <w:p>
      <w:r>
        <w:rPr>
          <w:color w:val="555555"/>
          <w:sz w:val="17"/>
        </w:rPr>
        <w:t xml:space="preserve">Zitiervorschlag: § 16 ID212227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https://recht.nulegal.eu/gesetze/ID212227/16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