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ID212227 (Brandenburg) — Feststellung und Bekanntmachung der Zweckverbände und ihrer Verbandssatzung</w:t>
      </w:r>
    </w:p>
    <w:p>
      <w:r>
        <w:rPr>
          <w:color w:val="555555"/>
          <w:sz w:val="18"/>
        </w:rPr>
        <w:t xml:space="preserve">Gesetz zur rechtlichen Stabilisierung der Zweckverbände für Wasserversorgung und Abwasserbeseitigung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zuständige Aufsichtsbehörde stellt unverzüglich nach Inkrafttreten dieses Gesetzes fest und macht in ihrem amtlichen Veröffentlichungsblatt bekannt:</w:t>
      </w:r>
    </w:p>
    <w:p>
      <w:r>
        <w:t xml:space="preserve">die Zweckverbände, die nach den Vorschriften dieses Gesetzes als entstanden gelten, sowie den Zeitpunkt ihres Entstehens und, soweit erfolgt, ihrer Auflösung;</w:t>
      </w:r>
    </w:p>
    <w:p>
      <w:r>
        <w:t xml:space="preserve">die Gründungssatzungen der Zweckverbände, ihre Änderungssatzungen sowie ihre im Zeitpunkt dieser Bekanntmachung geltenden Verbandssatzungen in der jeweils nach den Vorschriften dieses Gesetzes geltenden Fassung.</w:t>
      </w:r>
    </w:p>
    <w:p>
      <w:r>
        <w:t xml:space="preserve">Die Verbandsmitglieder haben in der für ihre Bekanntmachungen vorgeschriebenen Form auf die Bekanntmachungen nach Satz 1 hinzuweisen.</w:t>
      </w:r>
    </w:p>
    <w:p>
      <w:r>
        <w:t xml:space="preserve">(2) Die Feststellungen nach Absatz 1 werden gegenüber den betroffenen Zweckverbänden und Gemeinden durch Verwaltungsakt getroffen, der ihnen bekanntzugeben ist. Der Verwaltungsakt kann unmittelbar mit der Klage im Verwaltungsstreitverfahren angefochten werden; die Klage hat keine aufschiebende Wirkung. Fehlerhafte Feststellungen zur Verbandsmitgliedschaft sowie zum Inhalt der Verbandssatzung berühren nicht die Entstehung des Zweckverbandes.</w:t>
      </w:r>
    </w:p>
    <w:p>
      <w:r>
        <w:t xml:space="preserve">(3) Die Zweckverbände und die beteiligten Gemeinden sind verpflichtet, der zuständigen Aufsichtsbehörde sämtliche für die Feststellungen und Bekanntmachungen nach Absatz 1 erforderlichen Unterlagen, insbesondere die Änderungssatzungen, deren öffentliche Bekanntmachung ganz oder teilweise unterblieben ist, zur Verfügung zu stellen. Die zuständige Aufsichtsbehörde kann für die Vorlage nach Satz 1 eine Frist bestimmen. Nach Ablauf der Frist und Anhörung der Beteiligten kann die zuständige Aufsichtsbehörde auf der Grundlage der ihr vorliegenden Unterlagen die Verfahren nach Absatz 1 und 2 durchführen.</w:t>
      </w:r>
    </w:p>
    <w:p>
      <w:r>
        <w:t xml:space="preserve">(4) Zuständige Aufsichtsbehörde nach Absatz 1 bis 3 ist der Landrat des Landkreises, in dessen Gebiet der Verbandssitz im Zeitpunkt des Inkrafttretens dieses Gesetzes liegt.</w:t>
      </w:r>
    </w:p>
    <w:p>
      <w:r>
        <w:rPr>
          <w:color w:val="555555"/>
          <w:sz w:val="17"/>
        </w:rPr>
        <w:t xml:space="preserve">Zitiervorschlag: § 14 ID212227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https://recht.nulegal.eu/gesetze/ID212227/14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