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ID212227 (Brandenburg) — Vertretung des Verbandsvorstehers</w:t>
      </w:r>
    </w:p>
    <w:p>
      <w:r>
        <w:rPr>
          <w:color w:val="555555"/>
          <w:sz w:val="18"/>
        </w:rPr>
        <w:t xml:space="preserve">Gesetz zur rechtlichen Stabilisierung der Zweckverbände für Wasserversorgung und Abwasserbeseitigung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Fehlt in der Verbandssatzung eine wirksame Regelung zur Vertretung des Verbandsvorstehers, gilt das Verfahren als vereinbart, nach dem die Vertretung des Verbandsvorstehers bestimmt wurde.</w:t>
      </w:r>
    </w:p>
    <w:p>
      <w:r>
        <w:t xml:space="preserve">(2) Ist ein Verfahren nach Absatz 1 nicht bestimmbar, gilt folgendes Verfahren als vereinbart:</w:t>
      </w:r>
    </w:p>
    <w:p>
      <w:r>
        <w:t xml:space="preserve">Die Verbandsversammlung wählt den Vertreter des Verbandsvorstehers.</w:t>
      </w:r>
    </w:p>
    <w:p>
      <w:r>
        <w:rPr>
          <w:color w:val="555555"/>
          <w:sz w:val="17"/>
        </w:rPr>
        <w:t xml:space="preserve">Zitiervorschlag: § 12 ID212227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https://recht.nulegal.eu/gesetze/ID212227/12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