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ID212227 (Brandenburg) — Satzungsmäßige Stimmenzahl und Zuständigkeiten der Verbandsversammlung</w:t>
      </w:r>
    </w:p>
    <w:p>
      <w:r>
        <w:rPr>
          <w:color w:val="555555"/>
          <w:sz w:val="18"/>
        </w:rPr>
        <w:t xml:space="preserve">Gesetz zur rechtlichen Stabilisierung der Zweckverbände für Wasserversorgung und Abwasserbeseitigung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Fehlt in der Verbandssatzung eine wirksame Regelung zur Stimmenzahl der Verbandsmitglieder in der Verbandsversammlung, gilt das bei Abstimmungen in der Verbandsversammlung zugrunde gelegte Stimmenverhältnis als vereinbart.</w:t>
      </w:r>
    </w:p>
    <w:p>
      <w:r>
        <w:t xml:space="preserve">(2) Fehlt in der Verbandssatzung eine wirksame Regelung zu den Zuständigkeiten der Verbandsversammlung, gelten die von der Verbandsversammlung des Zweckverbandes wahrgenommenen Zuständigkeiten als vereinbart. Sind die Zuständigkeiten nach Satz 1 nicht bestimmbar, gilt die entsprechende Anwendbarkeit des § 35 Abs. 2 der Gemeindeordnung als vereinbart.</w:t>
      </w:r>
    </w:p>
    <w:p>
      <w:r>
        <w:rPr>
          <w:color w:val="555555"/>
          <w:sz w:val="17"/>
        </w:rPr>
        <w:t xml:space="preserve">Zitiervorschlag: § 11 ID212227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https://recht.nulegal.eu/gesetze/ID212227/11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ID212227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