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ID212096 (Brandenburg) — Bezeichnung und Vertretung des Sondervermögens</w:t>
      </w:r>
    </w:p>
    <w:p>
      <w:r>
        <w:rPr>
          <w:color w:val="555555"/>
          <w:sz w:val="18"/>
        </w:rPr>
        <w:t xml:space="preserve">Gesetz über das Wohnungsbauvermögen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Das Sondervermögen trägt den Namen "Wohnungsbauvermögen des Landes Brandenburg (LWV)".</w:t>
      </w:r>
    </w:p>
    <w:p>
      <w:r>
        <w:t xml:space="preserve">(2) Das Sondervermögen kann im Rechtsverkehr unter seinem Namen handeln, klagen und verklagt werden.</w:t>
      </w:r>
    </w:p>
    <w:p>
      <w:r>
        <w:t xml:space="preserve">(3) Das Sondervermögen wird durch das für das Wohnungswesen zuständige Ministerium vertreten. Die Verwaltung des Sondervermögens wird der Investitionsbank des Landes Brandenburg übertragen. Näheres regelt ein zu schließender Treuhandvertrag.</w:t>
      </w:r>
    </w:p>
    <w:p>
      <w:r>
        <w:t xml:space="preserve">(4) Der allgemeine Gerichtsstand des Sondervermögens ist Potsdam.</w:t>
      </w:r>
    </w:p>
    <w:p>
      <w:r>
        <w:rPr>
          <w:color w:val="555555"/>
          <w:sz w:val="17"/>
        </w:rPr>
        <w:t xml:space="preserve">Zitiervorschlag: § 2 ID212096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https://recht.nulegal.eu/gesetze/ID212096/2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