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ID212040 (Brandenburg) — Übergangsregelung</w:t>
      </w:r>
    </w:p>
    <w:p>
      <w:r>
        <w:rPr>
          <w:color w:val="555555"/>
          <w:sz w:val="18"/>
        </w:rPr>
        <w:t xml:space="preserve">Ausbildungsrahmenplan für die Berufsausbildung zum oder zur „Verwaltungsfachangestellten” in den Fachrichtungen „Landesverwaltung” und „Kommunalverwaltung” für das Dritte Ausbildungsjahr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Berufsausbildungsverhältnisse, die bei Inkrafttreten</w:t>
      </w:r>
    </w:p>
    <w:p>
      <w:r>
        <w:t xml:space="preserve">dieser Verordnung bestehen, sind die bisherigen Vorschriften weiter anzuwenden,</w:t>
      </w:r>
    </w:p>
    <w:p>
      <w:r>
        <w:t xml:space="preserve">es sei denn, die Vertragsparteien vereinbaren die Anwendung der Vorschriften</w:t>
      </w:r>
    </w:p>
    <w:p>
      <w:r>
        <w:t xml:space="preserve">dieser Verordnung.</w:t>
      </w:r>
    </w:p>
    <w:p>
      <w:r>
        <w:rPr>
          <w:color w:val="555555"/>
          <w:sz w:val="17"/>
        </w:rPr>
        <w:t xml:space="preserve">Zitiervorschlag: § 3 ID212040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