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ID211825 (Brandenburg)</w:t>
      </w:r>
    </w:p>
    <w:p>
      <w:r>
        <w:rPr>
          <w:color w:val="555555"/>
          <w:sz w:val="18"/>
        </w:rPr>
        <w:t xml:space="preserve">Gesetz zur Auflösung der Liegenschafts- und Bauämter Bernau, Cottbus, Frankfurt (Oder) und Potsdam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Aufgaben der Liegenschafts- und Bauämter gehen auf den Brandenburgischen Landesbetrieb für Liegenschaften und Bauen (BLB) über.</w:t>
      </w:r>
    </w:p>
    <w:p>
      <w:r>
        <w:rPr>
          <w:color w:val="555555"/>
          <w:sz w:val="17"/>
        </w:rPr>
        <w:t xml:space="preserve">Zitiervorschlag: § 2 ID211825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https://recht.nulegal.eu/gesetze/ID211825/2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