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ID211818 (Brandenburg) — Personalwirtschaftliche Regelungen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Erläuterungen zu den Titeln der Gruppe 422 für die</w:t>
      </w:r>
    </w:p>
    <w:p>
      <w:r>
        <w:t xml:space="preserve">Stellen der Beamten auf Probe bis zur Anstellung und zu den Titeln der</w:t>
      </w:r>
    </w:p>
    <w:p>
      <w:r>
        <w:t xml:space="preserve">Gruppen 425 und 426 sind hinsichtlich der Zahl der für die einzelnen</w:t>
      </w:r>
    </w:p>
    <w:p>
      <w:r>
        <w:t xml:space="preserve">Besoldungs-, Vergütungs- und Lohngruppen ausgebrachten Stellen verbindlich.</w:t>
      </w:r>
    </w:p>
    <w:p>
      <w:r>
        <w:t xml:space="preserve">(2) Die mit dem Haushaltsplan beschlossenen zusätzlichen Planstellen</w:t>
      </w:r>
    </w:p>
    <w:p>
      <w:r>
        <w:t xml:space="preserve">dürfen nur in Anspruch genommen werden, soweit sie sich im Rahmen</w:t>
      </w:r>
    </w:p>
    <w:p>
      <w:r>
        <w:t xml:space="preserve">der Stellenplanobergrenzen des § 26 Bundesbesoldungsgesetz halten.</w:t>
      </w:r>
    </w:p>
    <w:p>
      <w:r>
        <w:t xml:space="preserve">In die Feststellung der Stellenplanobergrenzen sind die Stellen für</w:t>
      </w:r>
    </w:p>
    <w:p>
      <w:r>
        <w:t xml:space="preserve">Angestellte einzubeziehen. Satz 1 ist analog auf Stellen für Angestellte</w:t>
      </w:r>
    </w:p>
    <w:p>
      <w:r>
        <w:t xml:space="preserve">anzuwenden.</w:t>
      </w:r>
    </w:p>
    <w:p>
      <w:r>
        <w:t xml:space="preserve">(3) Die Inanspruchnahme von Planstellen der Besoldungsgruppe A 16, der</w:t>
      </w:r>
    </w:p>
    <w:p>
      <w:r>
        <w:t xml:space="preserve">Besoldungsordnung B, der Besoldungsgruppe R 2 und höher sowie der</w:t>
      </w:r>
    </w:p>
    <w:p>
      <w:r>
        <w:t xml:space="preserve">Besoldungsgruppe C 4 und von vergleichbaren Angestelltenstellen in dieser</w:t>
      </w:r>
    </w:p>
    <w:p>
      <w:r>
        <w:t xml:space="preserve">Wertigkeit und höher bedarf der Einwilligung der Landesregierung.</w:t>
      </w:r>
    </w:p>
    <w:p>
      <w:r>
        <w:t xml:space="preserve">Die Inanspruchnahme derartiger Planstellen und Angestelltenstellen des</w:t>
      </w:r>
    </w:p>
    <w:p>
      <w:r>
        <w:t xml:space="preserve">Einzelplanes 01 - Landtag - bleibt hiervon unberührt.</w:t>
      </w:r>
    </w:p>
    <w:p>
      <w:r>
        <w:t xml:space="preserve">(4) Angestellte und Arbeiter, die nach den tarifrechtlichen Bestimmungen</w:t>
      </w:r>
    </w:p>
    <w:p>
      <w:r>
        <w:t xml:space="preserve">im Bewährungsaufstieg oder infolge Ablaufs einer bestimmten Frist</w:t>
      </w:r>
    </w:p>
    <w:p>
      <w:r>
        <w:t xml:space="preserve">höhergruppiert worden sind, sind auf den Stellen zu führen, aus</w:t>
      </w:r>
    </w:p>
    <w:p>
      <w:r>
        <w:t xml:space="preserve">denen die Höhergruppierungen erfolgt sind.</w:t>
      </w:r>
    </w:p>
    <w:p>
      <w:r>
        <w:t xml:space="preserve">(5) Mit Ausnahme der für Teilzeitkräfte geltenden Regelung</w:t>
      </w:r>
    </w:p>
    <w:p>
      <w:r>
        <w:t xml:space="preserve">darf auf einer unbesetzten Stelle jeweils nur ein Vollbeschäftigter</w:t>
      </w:r>
    </w:p>
    <w:p>
      <w:r>
        <w:t xml:space="preserve">geführt werden. Darüber hinaus muß die Stelle im Zeitpunkt</w:t>
      </w:r>
    </w:p>
    <w:p>
      <w:r>
        <w:t xml:space="preserve">der Inanspruchnahme durch den Arbeitnehmer gleich- oder höherwertig</w:t>
      </w:r>
    </w:p>
    <w:p>
      <w:r>
        <w:t xml:space="preserve">sein.</w:t>
      </w:r>
    </w:p>
    <w:p>
      <w:r>
        <w:t xml:space="preserve">(6) Planstellen und Stellen können für Zeiträume, in</w:t>
      </w:r>
    </w:p>
    <w:p>
      <w:r>
        <w:t xml:space="preserve">denen Stelleninhaber vorübergehend nicht oder nicht vollbeschäftigt</w:t>
      </w:r>
    </w:p>
    <w:p>
      <w:r>
        <w:t xml:space="preserve">sind, im Umfang der nicht in Anspruch genommenen Planstellen- oder Stellenanteile</w:t>
      </w:r>
    </w:p>
    <w:p>
      <w:r>
        <w:t xml:space="preserve">für die Beschäftigung von beamteten Hilfskräften und Aushilfskräften</w:t>
      </w:r>
    </w:p>
    <w:p>
      <w:r>
        <w:t xml:space="preserve">in Anspruch genommen werden. Dies gilt auch für die Dauer des Erziehungsurlaubs</w:t>
      </w:r>
    </w:p>
    <w:p>
      <w:r>
        <w:t xml:space="preserve">für Arbeitnehmer nach dem Bundeserziehungsgeldgesetz in der Fassung</w:t>
      </w:r>
    </w:p>
    <w:p>
      <w:r>
        <w:t xml:space="preserve">der Bekanntmachung vom 21. Januar 1992 (BGBl. I S. 68) und für Beamte</w:t>
      </w:r>
    </w:p>
    <w:p>
      <w:r>
        <w:t xml:space="preserve">nach der Erziehungsurlaubsverordnung in der Fassung der Bekanntmachung</w:t>
      </w:r>
    </w:p>
    <w:p>
      <w:r>
        <w:t xml:space="preserve">vom 30. Juni 1989 (BGBl. I S. 1297).</w:t>
      </w:r>
    </w:p>
    <w:p>
      <w:r>
        <w:t xml:space="preserve">(7) Unzulässig ist die Beschäftigung von Bediensteten, die</w:t>
      </w:r>
    </w:p>
    <w:p>
      <w:r>
        <w:t xml:space="preserve">nur eine geringfügige Beschäftigung ausüben und ein Entgelt</w:t>
      </w:r>
    </w:p>
    <w:p>
      <w:r>
        <w:t xml:space="preserve">unterhalb der Geringverdienergrenze erhalten (§ 8 Sozialgesetzbuch,</w:t>
      </w:r>
    </w:p>
    <w:p>
      <w:r>
        <w:t xml:space="preserve">Viertes Buch) sowie mit Teilzeitarbeitsverträgen mit weniger als der</w:t>
      </w:r>
    </w:p>
    <w:p>
      <w:r>
        <w:t xml:space="preserve">Hälfte der tariflich vereinbarten wöchentlichen Arbeitsstundenzahl. Die</w:t>
      </w:r>
    </w:p>
    <w:p>
      <w:r>
        <w:t xml:space="preserve">Einstellung von Behinderten wird hierdurch nicht berührt. Zum 30.September</w:t>
      </w:r>
    </w:p>
    <w:p>
      <w:r>
        <w:t xml:space="preserve">1993 erstellen die zuständigen Minister Übersichten über</w:t>
      </w:r>
    </w:p>
    <w:p>
      <w:r>
        <w:t xml:space="preserve">die für Teilzeitkräfte in Anspruch genommenen Stellen, aufgeschlüsselt</w:t>
      </w:r>
    </w:p>
    <w:p>
      <w:r>
        <w:t xml:space="preserve">nach der wöchentlichen Arbeitszeit der einzelnen Beschäftigten.</w:t>
      </w:r>
    </w:p>
    <w:p>
      <w:r>
        <w:t xml:space="preserve">(8) Der Minister der Finanzen wird ermächtigt, Stellen für</w:t>
      </w:r>
    </w:p>
    <w:p>
      <w:r>
        <w:t xml:space="preserve">Angestellte und Arbeiter für Arbeitsbeschaffungsmaßnahmen zusätzlich</w:t>
      </w:r>
    </w:p>
    <w:p>
      <w:r>
        <w:t xml:space="preserve">einzurichten. Diese Stellen dürfen nur im Rahmen der als förderungswürdig</w:t>
      </w:r>
    </w:p>
    <w:p>
      <w:r>
        <w:t xml:space="preserve">anerkannten Maßnahmen und nur für die Dauer der Zuweisung der</w:t>
      </w:r>
    </w:p>
    <w:p>
      <w:r>
        <w:t xml:space="preserve">Arbeitskräfte durch die Arbeitsverwaltung in Anspruch genommen werden.</w:t>
      </w:r>
    </w:p>
    <w:p>
      <w:r>
        <w:t xml:space="preserve">(9) Der Minister der Finanzen wird ermächtigt, in Abweichung von</w:t>
      </w:r>
    </w:p>
    <w:p>
      <w:r>
        <w:t xml:space="preserve">den Vorschriften der Zweiten Besoldungs-Übergangsverordnung vom 21.</w:t>
      </w:r>
    </w:p>
    <w:p>
      <w:r>
        <w:t xml:space="preserve">Juni 1991 (BGBl. I S. 1345) bei Erfüllung von beamten- und laufbahnrechtlichen</w:t>
      </w:r>
    </w:p>
    <w:p>
      <w:r>
        <w:t xml:space="preserve">Voraussetzungen Planstellen für Lehrkräfte nach Maßgabe</w:t>
      </w:r>
    </w:p>
    <w:p>
      <w:r>
        <w:t xml:space="preserve">der Besoldungsgesetze zu heben.</w:t>
      </w:r>
    </w:p>
    <w:p>
      <w:r>
        <w:t xml:space="preserve">(10) Die Absätze 5 bis 8 gelten entsprechend für landesunmittelbare</w:t>
      </w:r>
    </w:p>
    <w:p>
      <w:r>
        <w:t xml:space="preserve">juristische Personen des öffentlichen Rechts mit Ausnahme der Investitionsbank</w:t>
      </w:r>
    </w:p>
    <w:p>
      <w:r>
        <w:t xml:space="preserve">des Landes Brandenburg.</w:t>
      </w:r>
    </w:p>
    <w:p>
      <w:r>
        <w:rPr>
          <w:color w:val="555555"/>
          <w:sz w:val="17"/>
        </w:rPr>
        <w:t xml:space="preserve">Zitiervorschlag: § 8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