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ID211818 (Brandenburg) — Weitergeltung von Vorschriften und Ermächtigungen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§ 3, § 4, §</w:t>
      </w:r>
    </w:p>
    <w:p>
      <w:r>
        <w:t xml:space="preserve">5 Abs. 1, § 8, § 10 und § 11 gelten bis zur Verkündung</w:t>
      </w:r>
    </w:p>
    <w:p>
      <w:r>
        <w:t xml:space="preserve">des Haushaltsgesetzes 1994 weiter.</w:t>
      </w:r>
    </w:p>
    <w:p>
      <w:r>
        <w:rPr>
          <w:color w:val="555555"/>
          <w:sz w:val="17"/>
        </w:rPr>
        <w:t xml:space="preserve">Zitiervorschlag: § 13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