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ID211818 (Brandenburg) — Feststellung des Haushaltsplanes</w:t>
      </w:r>
    </w:p>
    <w:p>
      <w:r>
        <w:rPr>
          <w:color w:val="555555"/>
          <w:sz w:val="18"/>
        </w:rPr>
        <w:t xml:space="preserve">Gesetz über die Feststellung des Haushaltsplanes des Landes Brandenburg für das Haushaltsjahr 1993 (Haushaltsgesetz 1993)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diesem Gesetz als Anlage beigefügte Haushaltsplan des Landes</w:t>
      </w:r>
    </w:p>
    <w:p>
      <w:r>
        <w:t xml:space="preserve">Brandenburg wird in Einnahme und Ausgabe auf</w:t>
      </w:r>
    </w:p>
    <w:p>
      <w:r>
        <w:t xml:space="preserve">18 896 984 300 Deutsche Mark festgestellt. Der Gesamtbetrag der Verpflichtungsermächtigungen</w:t>
      </w:r>
    </w:p>
    <w:p>
      <w:r>
        <w:t xml:space="preserve">beläuft sich auf 10 142 959 700 Deutsche Mark.</w:t>
      </w:r>
    </w:p>
    <w:p>
      <w:r>
        <w:rPr>
          <w:color w:val="555555"/>
          <w:sz w:val="17"/>
        </w:rPr>
        <w:t xml:space="preserve">Zitiervorschlag: § 1 ID211818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https://recht.nulegal.eu/gesetze/ID211818/1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