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zur Deckung</w:t>
      </w:r>
    </w:p>
    <w:p>
      <w:r>
        <w:t xml:space="preserve">der Ausgaben des Haushaltsplanes 1992 bis zur Höhe von 4 762 394 400 DM</w:t>
      </w:r>
    </w:p>
    <w:p>
      <w:r>
        <w:t xml:space="preserve">Kredite aufzunehmen. Die Kreditermächtigung erhöht sich insoweit, als</w:t>
      </w:r>
    </w:p>
    <w:p>
      <w:r>
        <w:t xml:space="preserve">Darlehen aus Mitteln des Bundes, des ERP-Sondervermögens, der</w:t>
      </w:r>
    </w:p>
    <w:p>
      <w:r>
        <w:t xml:space="preserve">Bundesanstalt für Arbeit und sonstiger Stellen die im Haushaltsplan</w:t>
      </w:r>
    </w:p>
    <w:p>
      <w:r>
        <w:t xml:space="preserve">veranschlagten Beträge überschreiten, für die Darlehensaufnahmen</w:t>
      </w:r>
    </w:p>
    <w:p>
      <w:r>
        <w:t xml:space="preserve">selbst und für die damit sowie für etwaige mit Zuweisungen und</w:t>
      </w:r>
    </w:p>
    <w:p>
      <w:r>
        <w:t xml:space="preserve">Zuschüssen zusammenhängende Komplementärmittel (§ 5 Abs.</w:t>
      </w:r>
    </w:p>
    <w:p>
      <w:r>
        <w:t xml:space="preserve">2).</w:t>
      </w:r>
    </w:p>
    <w:p>
      <w:r>
        <w:t xml:space="preserve">(2) Der Minister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1992 bis zur Höhe von zehn vom Hundert des in § 1</w:t>
      </w:r>
    </w:p>
    <w:p>
      <w:r>
        <w:t xml:space="preserve">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 Kassenverstärkungskredite dürfen nicht</w:t>
      </w:r>
    </w:p>
    <w:p>
      <w:r>
        <w:t xml:space="preserve">später als sechs Monate nach Ablauf des Haushaltsjahres fällig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