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ID211760 (Brandenburg)</w:t>
      </w:r>
    </w:p>
    <w:p>
      <w:r>
        <w:rPr>
          <w:color w:val="555555"/>
          <w:sz w:val="18"/>
        </w:rPr>
        <w:t xml:space="preserve">Gesetz zu dem Staatsvertrag vom 26. Juni 2005 und 15. Juli 2005 über die Auflösung der von Berlin und Brandenburg getragenen Akademie der Künste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5 Satz 2 in Kraft tritt, ist im Gesetz- und Verordnungsblatt für das Land Brandenburg Teil I bekannt zu geben.</w:t>
      </w:r>
    </w:p>
    <w:p>
      <w:r>
        <w:t xml:space="preserve">Potsdam, den 23. November 2005</w:t>
      </w:r>
    </w:p>
    <w:p>
      <w:r>
        <w:t xml:space="preserve">Der Präsident 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ID211760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https://recht.nulegal.eu/gesetze/ID211760/2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