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Landtag legt den beschlossenen Verfassungsentwurf den</w:t>
      </w:r>
    </w:p>
    <w:p>
      <w:r>
        <w:t xml:space="preserve">Bürgerinnen und Bürgern des Landes Brandenburg innerhalb von drei</w:t>
      </w:r>
    </w:p>
    <w:p>
      <w:r>
        <w:t xml:space="preserve">Monaten zur Entscheidung vor.</w:t>
      </w:r>
    </w:p>
    <w:p>
      <w:r>
        <w:rPr>
          <w:color w:val="555555"/>
          <w:sz w:val="17"/>
        </w:rPr>
        <w:t xml:space="preserve">Zitiervorschlag: § 6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