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ID211743 (Brandenburg)</w:t>
      </w:r>
    </w:p>
    <w:p>
      <w:r>
        <w:rPr>
          <w:color w:val="555555"/>
          <w:sz w:val="18"/>
        </w:rPr>
        <w:t xml:space="preserve">Gesetz zur Erarbeitung einer Verfassung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Landtag entscheidet innerhalb von drei Monaten nach</w:t>
      </w:r>
    </w:p>
    <w:p>
      <w:r>
        <w:t xml:space="preserve">Zusendung über den Verfassungsentwurf. Dieser bedarf zu seiner Annahme der</w:t>
      </w:r>
    </w:p>
    <w:p>
      <w:r>
        <w:t xml:space="preserve">Mehrheit von zwei Dritteln der gesetzlichen Zahl der Mitglieder des Landtages.</w:t>
      </w:r>
    </w:p>
    <w:p>
      <w:r>
        <w:rPr>
          <w:color w:val="555555"/>
          <w:sz w:val="17"/>
        </w:rPr>
        <w:t xml:space="preserve">Zitiervorschlag: § 5 ID211743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https://recht.nulegal.eu/gesetze/ID211743/5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