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Bürgerinnen und Bürger des Landes</w:t>
      </w:r>
    </w:p>
    <w:p>
      <w:r>
        <w:t xml:space="preserve">Brandenburg sind umfassend in die Erarbeitung und Diskussion der Verfassung</w:t>
      </w:r>
    </w:p>
    <w:p>
      <w:r>
        <w:t xml:space="preserve">einzubeziehen.</w:t>
      </w:r>
    </w:p>
    <w:p>
      <w:r>
        <w:t xml:space="preserve">(2) Der Ausschuß leitet dem Präsidenten des</w:t>
      </w:r>
    </w:p>
    <w:p>
      <w:r>
        <w:t xml:space="preserve">Landtages den Verfassungsentwurf bis zum 30.05.1991 zur Veröffentlichung</w:t>
      </w:r>
    </w:p>
    <w:p>
      <w:r>
        <w:t xml:space="preserve">zu.</w:t>
      </w:r>
    </w:p>
    <w:p>
      <w:r>
        <w:t xml:space="preserve">(3) Der Präsident des Landtages veröffentlicht den</w:t>
      </w:r>
    </w:p>
    <w:p>
      <w:r>
        <w:t xml:space="preserve">Entwurf bis zum 10.06.1991.</w:t>
      </w:r>
    </w:p>
    <w:p>
      <w:r>
        <w:t xml:space="preserve">(4) Die Bürgerinnen und Bürger haben das Recht, bis</w:t>
      </w:r>
    </w:p>
    <w:p>
      <w:r>
        <w:t xml:space="preserve">zum 15.09.1991 Vorschläge und Hinweise an den Ausschuß zu richten.</w:t>
      </w:r>
    </w:p>
    <w:p>
      <w:r>
        <w:t xml:space="preserve">(5) Der Ausschuß berät den Verfassungsentwurf unter</w:t>
      </w:r>
    </w:p>
    <w:p>
      <w:r>
        <w:t xml:space="preserve">Berücksichtigung der Vorschläge und Hinweise aus der Bevölkerung</w:t>
      </w:r>
    </w:p>
    <w:p>
      <w:r>
        <w:t xml:space="preserve">erneut. Er hat ihn bis zum 15. Dezember 1991 dem Landtag zuzuleiten.</w:t>
      </w:r>
    </w:p>
    <w:p>
      <w:r>
        <w:rPr>
          <w:color w:val="555555"/>
          <w:sz w:val="17"/>
        </w:rPr>
        <w:t xml:space="preserve">Zitiervorschlag: § 4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