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ID211743 (Brandenburg)</w:t>
      </w:r>
    </w:p>
    <w:p>
      <w:r>
        <w:rPr>
          <w:color w:val="555555"/>
          <w:sz w:val="18"/>
        </w:rPr>
        <w:t xml:space="preserve">Gesetz zur Erarbeitung einer Verfassung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Landtag erstattet den Mitgliedern des</w:t>
      </w:r>
    </w:p>
    <w:p>
      <w:r>
        <w:t xml:space="preserve">Verfassungsausschusses, die nicht dem Landtag angehören, den durch die</w:t>
      </w:r>
    </w:p>
    <w:p>
      <w:r>
        <w:t xml:space="preserve">Mitwirkung im Ausschuß entstandenen Verdienstausfall und die durch</w:t>
      </w:r>
    </w:p>
    <w:p>
      <w:r>
        <w:t xml:space="preserve">Anreise und Aufenthalt am Ort der Tagung des Ausschusses entstehenden</w:t>
      </w:r>
    </w:p>
    <w:p>
      <w:r>
        <w:t xml:space="preserve">Mehraufwendungen.</w:t>
      </w:r>
    </w:p>
    <w:p>
      <w:r>
        <w:rPr>
          <w:color w:val="555555"/>
          <w:sz w:val="17"/>
        </w:rPr>
        <w:t xml:space="preserve">Zitiervorschlag: § 3 ID211743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https://recht.nulegal.eu/gesetze/ID211743/3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