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Verfassungsausschuß besteht aus dreißig</w:t>
      </w:r>
    </w:p>
    <w:p>
      <w:r>
        <w:t xml:space="preserve">stimmberechtigten Mitgliedern.</w:t>
      </w:r>
    </w:p>
    <w:p>
      <w:r>
        <w:t xml:space="preserve">(2) Fünfzehn Mitglieder sind Abgeordnete des Landtages,</w:t>
      </w:r>
    </w:p>
    <w:p>
      <w:r>
        <w:t xml:space="preserve">die von den Fraktionen entsprechend ihrer Stärke im Landtag benannt</w:t>
      </w:r>
    </w:p>
    <w:p>
      <w:r>
        <w:t xml:space="preserve">werden.</w:t>
      </w:r>
    </w:p>
    <w:p>
      <w:r>
        <w:t xml:space="preserve">(3) Fünfzehn weitere nichtparlamentarische Mitglieder</w:t>
      </w:r>
    </w:p>
    <w:p>
      <w:r>
        <w:t xml:space="preserve">werden auf Vorschlag der im Landtag vertretenen Fraktionen entsprechend ihrer</w:t>
      </w:r>
    </w:p>
    <w:p>
      <w:r>
        <w:t xml:space="preserve">Stärke im Landtag berufen.</w:t>
      </w:r>
    </w:p>
    <w:p>
      <w:r>
        <w:t xml:space="preserve">(4) Macht eine Fraktion von ihrem Vorschlagsrecht keinen</w:t>
      </w:r>
    </w:p>
    <w:p>
      <w:r>
        <w:t xml:space="preserve">Gebrauch, bleibt die entsprechende Anzahl von Plätzen im</w:t>
      </w:r>
    </w:p>
    <w:p>
      <w:r>
        <w:t xml:space="preserve">Verfassungsausschuß unbesetzt.</w:t>
      </w:r>
    </w:p>
    <w:p>
      <w:r>
        <w:rPr>
          <w:color w:val="555555"/>
          <w:sz w:val="17"/>
        </w:rPr>
        <w:t xml:space="preserve">Zitiervorschlag: § 2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