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ID211735 (Brandenburg)</w:t>
      </w:r>
    </w:p>
    <w:p>
      <w:r>
        <w:rPr>
          <w:color w:val="555555"/>
          <w:sz w:val="18"/>
        </w:rPr>
        <w:t xml:space="preserve">Gesetz zu § 15 Abs. 2 Satz 1 Nr. 1 des Versammlungsgesetzes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Orte im Sinne des § 15 Abs. 2 Satz 1 Nr. 1 des Versammlungsgesetzes sind:</w:t>
      </w:r>
    </w:p>
    <w:p>
      <w:r>
        <w:t xml:space="preserve">die Mahn- und Gedenkstätte Ravensbrück in der Stadt Fürstenberg/Havel,</w:t>
      </w:r>
    </w:p>
    <w:p>
      <w:r>
        <w:t xml:space="preserve">die Gedenkstätte und das Museum Sachsenhausen in der Stadt Oranienburg.</w:t>
      </w:r>
    </w:p>
    <w:p>
      <w:r>
        <w:t xml:space="preserve">Die Abgrenzung der Orte bestimmt sich nach der Anlage zu diesem Gesetz.</w:t>
      </w:r>
    </w:p>
    <w:p>
      <w:r>
        <w:t xml:space="preserve">(2) Die Vorschriften des Gesetzes zur Ausführung des Gräbergesetzes im Land Brandenburg bleiben unberührt.</w:t>
      </w:r>
    </w:p>
    <w:p>
      <w:r>
        <w:rPr>
          <w:color w:val="555555"/>
          <w:sz w:val="17"/>
        </w:rPr>
        <w:t xml:space="preserve">Zitiervorschlag: § 1 ID211735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https://recht.nulegal.eu/gesetze/ID211735/1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