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ID211726 (Brandenburg)</w:t>
      </w:r>
    </w:p>
    <w:p>
      <w:r>
        <w:rPr>
          <w:color w:val="555555"/>
          <w:sz w:val="18"/>
        </w:rPr>
        <w:t xml:space="preserve">Gesetz zur Regelung der Prüfung der Wahlfachgruppen der Juristischen Fakultät der Universität Potsdam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§ 25 Abs. 1 bis 3 des Brandenburgischen</w:t>
      </w:r>
    </w:p>
    <w:p>
      <w:r>
        <w:t xml:space="preserve">Juristenausbildungsgesetzes vom 4. Juni 2003 (GVBl. I S. 166), das durch</w:t>
      </w:r>
    </w:p>
    <w:p>
      <w:r>
        <w:t xml:space="preserve">Artikel 2 des Gesetzes vom 29. Juni 2004 (GVBl. I S. 278) geändert worden</w:t>
      </w:r>
    </w:p>
    <w:p>
      <w:r>
        <w:t xml:space="preserve">ist, findet Anwendung.</w:t>
      </w:r>
    </w:p>
    <w:p>
      <w:r>
        <w:rPr>
          <w:color w:val="555555"/>
          <w:sz w:val="17"/>
        </w:rPr>
        <w:t xml:space="preserve">Zitiervorschlag: § 3 ID211726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https://recht.nulegal.eu/gesetze/ID211726/3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