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ID211726 (Brandenburg)</w:t>
      </w:r>
    </w:p>
    <w:p>
      <w:r>
        <w:rPr>
          <w:color w:val="555555"/>
          <w:sz w:val="18"/>
        </w:rPr>
        <w:t xml:space="preserve">Gesetz zur Regelung der Prüfung der Wahlfachgruppen der Juristischen Fakultät der Universität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Studierende der Rechtswissenschaft der Universität Potsdam</w:t>
      </w:r>
    </w:p>
    <w:p>
      <w:r>
        <w:t xml:space="preserve">im Sinne dieses Gesetzes sind Prüflinge, die in den zwei der Prüfung</w:t>
      </w:r>
    </w:p>
    <w:p>
      <w:r>
        <w:t xml:space="preserve">unmittelbar vorausgegangenen Semestern an der Universität Potsdam im Fach</w:t>
      </w:r>
    </w:p>
    <w:p>
      <w:r>
        <w:t xml:space="preserve">Rechtswissenschaft eingeschrieben waren.</w:t>
      </w:r>
    </w:p>
    <w:p>
      <w:r>
        <w:rPr>
          <w:color w:val="555555"/>
          <w:sz w:val="17"/>
        </w:rPr>
        <w:t xml:space="preserve">Zitiervorschlag: § 2 ID211726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https://recht.nulegal.eu/gesetze/ID211726/2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