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ID211710 (Brandenburg)</w:t>
      </w:r>
    </w:p>
    <w:p>
      <w:r>
        <w:rPr>
          <w:color w:val="555555"/>
          <w:sz w:val="18"/>
        </w:rPr>
        <w:t xml:space="preserve">Gesetz zu dem Staatsvertrag zum Lotteriewesen in Deutschland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Dem am 13. Februar 2004 unterzeichneten Staatsvertrag zum Lotteriewesen in Deutschland wird zugestimmt. Der Staatsvertrag wird nachstehend veröffentlicht.</w:t>
      </w:r>
    </w:p>
    <w:p>
      <w:r>
        <w:t xml:space="preserve">(2) Der Tag, an dem der Vertrag nach seinem § 18 in Kraft tritt, ist im Gesetz- und Verordnungsblatt für das Land Brandenburg Teil I bekannt zu geben.</w:t>
      </w:r>
    </w:p>
    <w:p>
      <w:r>
        <w:rPr>
          <w:color w:val="555555"/>
          <w:sz w:val="17"/>
        </w:rPr>
        <w:t xml:space="preserve">Zitiervorschlag: § 1 ID211710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https://recht.nulegal.eu/gesetze/ID211710/1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