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ID211703 (Brandenburg) — In-Kraft-Treten</w:t>
      </w:r>
    </w:p>
    <w:p>
      <w:r>
        <w:rPr>
          <w:color w:val="555555"/>
          <w:sz w:val="18"/>
        </w:rPr>
        <w:t xml:space="preserve">Gesetz zu dem Mess- und Eichwesen-Staatsvertrag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Artikel 1 tritt am Tage nach der Verkündung in Kraft.</w:t>
      </w:r>
    </w:p>
    <w:p>
      <w:r>
        <w:t xml:space="preserve">(2) Artikel 2 und 3 treten am Tage des In-Kraft-Tretens des Staatsvertrages in Kraft.</w:t>
      </w:r>
    </w:p>
    <w:p>
      <w:r>
        <w:t xml:space="preserve">(3) Der Tag, an dem der Staatsvertrag nach seinem Artikel 10 in Kraft tritt, ist im Gesetz- und Verordnungsblatt für das Land Brandenburg Teil I bekannt zu geben.</w:t>
      </w:r>
    </w:p>
    <w:p>
      <w:r>
        <w:t xml:space="preserve">Potsdam, den 26. Mai 2004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Art 4 ID211703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