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ID211691 (Brandenburg)</w:t>
      </w:r>
    </w:p>
    <w:p>
      <w:r>
        <w:rPr>
          <w:color w:val="555555"/>
          <w:sz w:val="18"/>
        </w:rPr>
        <w:t xml:space="preserve">Brandenburgisches Gesetz über die Nichtanpassung der Bezüge der Staatssekretäre und entsprechenden Versorgungsempfänger in den Jahren 2003 und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§§ 1 und 4 treten mit Wirkung vom 1. Juli 2003 in Kraft.</w:t>
      </w:r>
    </w:p>
    <w:p>
      <w:r>
        <w:t xml:space="preserve">(2) Die §§ 2 und 5 treten am 1. April 2004 in Kraft.</w:t>
      </w:r>
    </w:p>
    <w:p>
      <w:r>
        <w:t xml:space="preserve">(3) Die §§ 3 und 6 treten am 1. August 2004 in Kraft.</w:t>
      </w:r>
    </w:p>
    <w:p>
      <w:r>
        <w:t xml:space="preserve">Potsdam, den 9. Oktober 2003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7 ID211691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https://recht.nulegal.eu/gesetze/ID211691/7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