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ID211685 (Brandenburg) — Finanzieller Ausgleich</w:t>
      </w:r>
    </w:p>
    <w:p>
      <w:r>
        <w:rPr>
          <w:color w:val="555555"/>
          <w:sz w:val="18"/>
        </w:rPr>
        <w:t xml:space="preserve">Gesetz zur Auflösung der Gemeinde Horno und zur Eingliederung ihres Gemeindegebietes in die Gemeinde Jänschwalde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Siedelt sich mindestens ein Drittel der Einwohner der Gemeinde</w:t>
      </w:r>
    </w:p>
    <w:p>
      <w:r>
        <w:t xml:space="preserve">Horno an einem nach § 5 Abs. 2 ausgewiesenen Standort an, hat die Gemeinde</w:t>
      </w:r>
    </w:p>
    <w:p>
      <w:r>
        <w:t xml:space="preserve">Jänschwalde aus den bergbaubedingten Einnahmen, die ihr aus dem</w:t>
      </w:r>
    </w:p>
    <w:p>
      <w:r>
        <w:t xml:space="preserve">Eingliederungsgebiet zufließen, der Gemeinde, auf deren Gebiet der</w:t>
      </w:r>
    </w:p>
    <w:p>
      <w:r>
        <w:t xml:space="preserve">Wiederansiedlungsstandort liegt, einen angemessenen finanziellen Ausgleich zu</w:t>
      </w:r>
    </w:p>
    <w:p>
      <w:r>
        <w:t xml:space="preserve">leisten. § 6 Abs. 1 Satz 2 und 3 gilt entsprechend. Die Landesregierung</w:t>
      </w:r>
    </w:p>
    <w:p>
      <w:r>
        <w:t xml:space="preserve">wird ermächtigt, Umfang und Dauer der Ausgleichsleistungen durch</w:t>
      </w:r>
    </w:p>
    <w:p>
      <w:r>
        <w:t xml:space="preserve">Rechtsverordnung zu regeln. Ausgleichsleistungen dürfen längstens bis</w:t>
      </w:r>
    </w:p>
    <w:p>
      <w:r>
        <w:t xml:space="preserve">zum Abschluß der Wiedernutzbarmachung des Eingliederungsgebietes</w:t>
      </w:r>
    </w:p>
    <w:p>
      <w:r>
        <w:t xml:space="preserve">festgelegt werden.</w:t>
      </w:r>
    </w:p>
    <w:p>
      <w:r>
        <w:rPr>
          <w:color w:val="555555"/>
          <w:sz w:val="17"/>
        </w:rPr>
        <w:t xml:space="preserve">Zitiervorschlag: § 7 ID211685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https://recht.nulegal.eu/gesetze/ID211685/7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