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ID211685 (Brandenburg) — Ortsteilbildung im Wiederansiedlungsgebiet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die Wiederansiedlung der Einwohner der</w:t>
      </w:r>
    </w:p>
    <w:p>
      <w:r>
        <w:t xml:space="preserve">Gemeinde Horno gemäß § 5 Abs. 1 oder 2 bestimmte Gebiet</w:t>
      </w:r>
    </w:p>
    <w:p>
      <w:r>
        <w:t xml:space="preserve">erhält den besonderen Status als Ortsteil der aufnehmenden Gemeinde, wenn</w:t>
      </w:r>
    </w:p>
    <w:p>
      <w:r>
        <w:t xml:space="preserve">mindestens ein Drittel der Einwohner der Gemeinde Horno dort mit Hauptwohnung</w:t>
      </w:r>
    </w:p>
    <w:p>
      <w:r>
        <w:t xml:space="preserve">gemeldet ist. Maßgebend ist der vom Landesamt für Datenverarbeitung</w:t>
      </w:r>
    </w:p>
    <w:p>
      <w:r>
        <w:t xml:space="preserve">und Statistik des Landes Brandenburg ermittelte Stand der Einwohnerzahl in der</w:t>
      </w:r>
    </w:p>
    <w:p>
      <w:r>
        <w:t xml:space="preserve">Gemeinde Horno am 31. Dezember 1995. Die Kommunalaufsichtsbehörde stellt</w:t>
      </w:r>
    </w:p>
    <w:p>
      <w:r>
        <w:t xml:space="preserve">den Zeitpunkt nach Satz 1 fest.</w:t>
      </w:r>
    </w:p>
    <w:p>
      <w:r>
        <w:t xml:space="preserve">(2) Die Hauptsatzung der aufnehmenden Gemeinde kann vorsehen,</w:t>
      </w:r>
    </w:p>
    <w:p>
      <w:r>
        <w:t xml:space="preserve">daß der Ortsbeirat über die Nutzung der für den Ortsteil</w:t>
      </w:r>
    </w:p>
    <w:p>
      <w:r>
        <w:t xml:space="preserve">bestimmten öffentlichen Einrichtungen entscheidet. Auf den Ortsteil findet</w:t>
      </w:r>
    </w:p>
    <w:p>
      <w:r>
        <w:t xml:space="preserve">im übrigen § 54 der Gemeindeordnung Anwendung.</w:t>
      </w:r>
    </w:p>
    <w:p>
      <w:r>
        <w:t xml:space="preserve">(3) Die Regelungen des Absatzes 1 Satz 1 und des Absatzes 2</w:t>
      </w:r>
    </w:p>
    <w:p>
      <w:r>
        <w:t xml:space="preserve">Satz 1 gelten bis zum Ablauf der übernächsten Wahlperiode im Sinne</w:t>
      </w:r>
    </w:p>
    <w:p>
      <w:r>
        <w:t xml:space="preserve">des § 4 des Brandenburgischen Kommunalwahlgesetzes.</w:t>
      </w:r>
    </w:p>
    <w:p>
      <w:r>
        <w:rPr>
          <w:color w:val="555555"/>
          <w:sz w:val="17"/>
        </w:rPr>
        <w:t xml:space="preserve">Zitiervorschlag: § 6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