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ID211685 (Brandenburg) — Wiederansiedlung</w:t>
      </w:r>
    </w:p>
    <w:p>
      <w:r>
        <w:rPr>
          <w:color w:val="555555"/>
          <w:sz w:val="18"/>
        </w:rPr>
        <w:t xml:space="preserve">Gesetz zur Auflösung der Gemeinde Horno und zur Eingliederung ihres Gemeindegebietes in die Gemeinde Jänschwalde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Zum Erhalt der dörflichen Gemeinschaft sowie sozialer</w:t>
      </w:r>
    </w:p>
    <w:p>
      <w:r>
        <w:t xml:space="preserve">Bindungen sind den Einwohnern der Gemeinde Horno auf dem Gebiet der Gemeinde</w:t>
      </w:r>
    </w:p>
    <w:p>
      <w:r>
        <w:t xml:space="preserve">Jänschwalde geeignete Flächen für die Wiederansiedlung</w:t>
      </w:r>
    </w:p>
    <w:p>
      <w:r>
        <w:t xml:space="preserve">anzubieten. Die Ausweisung der Flächen erfolgt im Braunkohlenplan Tagebau</w:t>
      </w:r>
    </w:p>
    <w:p>
      <w:r>
        <w:t xml:space="preserve">Jänschwalde, sachlicher Teilplan Umsiedlung Horno. § 12 Abs. 6 Satz 2</w:t>
      </w:r>
    </w:p>
    <w:p>
      <w:r>
        <w:t xml:space="preserve">des Gesetzes zur Einführung der Regionalplanung und der Braunkohlen- und</w:t>
      </w:r>
    </w:p>
    <w:p>
      <w:r>
        <w:t xml:space="preserve">Sanierungsplanung im Land Brandenburg vom 13. Mai 1993 (GVBl. I S. 170) ist</w:t>
      </w:r>
    </w:p>
    <w:p>
      <w:r>
        <w:t xml:space="preserve">anzuwenden. Vor der Feststellung des Braunkohlenplanes sind die Bürger der</w:t>
      </w:r>
    </w:p>
    <w:p>
      <w:r>
        <w:t xml:space="preserve">Gemeinde Horno vom Braunkohlenausschuß zur Wiederansiedlung auf dem</w:t>
      </w:r>
    </w:p>
    <w:p>
      <w:r>
        <w:t xml:space="preserve">Gebiet der Gemeinde Jänschwalde oder dem Gebiet der Gemeinde Turnow oder</w:t>
      </w:r>
    </w:p>
    <w:p>
      <w:r>
        <w:t xml:space="preserve">dem Gebiet der Städte Peitz oder Forst (Lausitz) anzuhören. Das</w:t>
      </w:r>
    </w:p>
    <w:p>
      <w:r>
        <w:t xml:space="preserve">Nähere der Anhörung, einschließlich eines Erörterungs- und</w:t>
      </w:r>
    </w:p>
    <w:p>
      <w:r>
        <w:t xml:space="preserve">eines Abstimmungstermins, regelt der Minister für Umwelt, Naturschutz und</w:t>
      </w:r>
    </w:p>
    <w:p>
      <w:r>
        <w:t xml:space="preserve">Raumordnung im Einvernehmen mit dem Minister des Innern durch Rechtsverordnung.</w:t>
      </w:r>
    </w:p>
    <w:p>
      <w:r>
        <w:t xml:space="preserve">(2) Soweit sich die Mehrheit der Bürger der Gemeinde</w:t>
      </w:r>
    </w:p>
    <w:p>
      <w:r>
        <w:t xml:space="preserve">Horno im Rahmen der Anhörung gemäß Absatz 1 Satz 4 für</w:t>
      </w:r>
    </w:p>
    <w:p>
      <w:r>
        <w:t xml:space="preserve">eine Wiederansiedlung auf dem Gebiet der Gemeinde Turnow oder dem Gebiet der</w:t>
      </w:r>
    </w:p>
    <w:p>
      <w:r>
        <w:t xml:space="preserve">Städte Peitz oder Forst (Lausitz) ausspricht, sind im Braunkohlenplan</w:t>
      </w:r>
    </w:p>
    <w:p>
      <w:r>
        <w:t xml:space="preserve">Tagebau Jänschwalde, sachlicher Teilplan Umsiedlung Horno, die</w:t>
      </w:r>
    </w:p>
    <w:p>
      <w:r>
        <w:t xml:space="preserve">erforderlichen Flächen für die Wiederansiedlung auf dem Gebiet dieser</w:t>
      </w:r>
    </w:p>
    <w:p>
      <w:r>
        <w:t xml:space="preserve">Gemeinde auszuweisen. Absatz 1 Satz 3 gilt entsprechend.</w:t>
      </w:r>
    </w:p>
    <w:p>
      <w:r>
        <w:t xml:space="preserve">(3) Die Gemeinde, auf deren Gebiet</w:t>
      </w:r>
    </w:p>
    <w:p>
      <w:r>
        <w:t xml:space="preserve">Wiederansiedlungsflächen nach Absatz 1 oder 2 ausgewiesen sind,</w:t>
      </w:r>
    </w:p>
    <w:p>
      <w:r>
        <w:t xml:space="preserve">erläßt für die Wiederansiedlung die nach dem Baugesetzbuch oder</w:t>
      </w:r>
    </w:p>
    <w:p>
      <w:r>
        <w:t xml:space="preserve">dem Maßnahmengesetz zum Baugesetzbuch erforderliche Satzung.</w:t>
      </w:r>
    </w:p>
    <w:p>
      <w:r>
        <w:rPr>
          <w:color w:val="555555"/>
          <w:sz w:val="17"/>
        </w:rPr>
        <w:t xml:space="preserve">Zitiervorschlag: § 5 ID211685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https://recht.nulegal.eu/gesetze/ID211685/5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