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ID211685 (Brandenburg) — Kommunalwahlrechtliche Regelung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Wahlgebiet für die Wahl zur Gemeindevertretung und</w:t>
      </w:r>
    </w:p>
    <w:p>
      <w:r>
        <w:t xml:space="preserve">für die Wahl des ehrenamtlichen Bürgermeisters der Gemeinde</w:t>
      </w:r>
    </w:p>
    <w:p>
      <w:r>
        <w:t xml:space="preserve">Jänschwalde ist bei den nächsten landesweiten Kommunalwahlen das</w:t>
      </w:r>
    </w:p>
    <w:p>
      <w:r>
        <w:t xml:space="preserve">Gebiet der Gemeinde Jänschwalde mit dem Gebiet der Gemeinde Horno.</w:t>
      </w:r>
    </w:p>
    <w:p>
      <w:r>
        <w:t xml:space="preserve">(2) Das Wahlgebiet nach Absatz 1 bildet einen Wahlkreis.</w:t>
      </w:r>
    </w:p>
    <w:p>
      <w:r>
        <w:t xml:space="preserve">(3) Für die Wählbarkeit nach § 11 Abs. 1 und</w:t>
      </w:r>
    </w:p>
    <w:p>
      <w:r>
        <w:t xml:space="preserve">§ 65 Abs. 1 des Brandenburgischen Kommunalwahlgesetzes gilt das Wohnen in</w:t>
      </w:r>
    </w:p>
    <w:p>
      <w:r>
        <w:t xml:space="preserve">der Gemeinde Horno als solches in der Gemeinde Jänschwalde.</w:t>
      </w:r>
    </w:p>
    <w:p>
      <w:r>
        <w:t xml:space="preserve">(4) Bei einer einzelnen Neuwahl in der Gemeinde</w:t>
      </w:r>
    </w:p>
    <w:p>
      <w:r>
        <w:t xml:space="preserve">Jänschwalde vor den nächsten landesweiten Kommunalwahlen finden</w:t>
      </w:r>
    </w:p>
    <w:p>
      <w:r>
        <w:t xml:space="preserve">§ 54 Abs. 4 Satz 2 und § 73 Abs. 2 Satz 2 des Brandenburgischen</w:t>
      </w:r>
    </w:p>
    <w:p>
      <w:r>
        <w:t xml:space="preserve">Kommunalwahlgesetzes keine Anwendung.</w:t>
      </w:r>
    </w:p>
    <w:p>
      <w:r>
        <w:rPr>
          <w:color w:val="555555"/>
          <w:sz w:val="17"/>
        </w:rPr>
        <w:t xml:space="preserve">Zitiervorschlag: § 3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