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ID211685 (Brandenburg) — Rechtsnachfolge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Jänschwalde wird mit dem Zeitpunkt der</w:t>
      </w:r>
    </w:p>
    <w:p>
      <w:r>
        <w:t xml:space="preserve">Eingliederung des Gebietes der Gemeinde Horno Rechtsnachfolgerin der Gemeinde</w:t>
      </w:r>
    </w:p>
    <w:p>
      <w:r>
        <w:t xml:space="preserve">Horno.</w:t>
      </w:r>
    </w:p>
    <w:p>
      <w:r>
        <w:t xml:space="preserve">(2) Eine Vermögensauseinandersetzung findet nicht statt.</w:t>
      </w:r>
    </w:p>
    <w:p>
      <w:r>
        <w:rPr>
          <w:color w:val="555555"/>
          <w:sz w:val="17"/>
        </w:rPr>
        <w:t xml:space="preserve">Zitiervorschlag: § 2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