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ID211677 (Brandenburg)</w:t>
      </w:r>
    </w:p>
    <w:p>
      <w:r>
        <w:rPr>
          <w:color w:val="555555"/>
          <w:sz w:val="18"/>
        </w:rPr>
        <w:t xml:space="preserve">Gesetz über die Errichtung der Liegenschafts- und Bauämter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 der Grundstücks- und Vermögensämter und der Landesbauämter gehen auf die Liegenschafts- und Bauämter über.</w:t>
      </w:r>
    </w:p>
    <w:p>
      <w:r>
        <w:t xml:space="preserve">Dieses Gesetz trat am 15. März 2003 in Kraft.</w:t>
      </w:r>
    </w:p>
    <w:p>
      <w:r>
        <w:rPr>
          <w:color w:val="555555"/>
          <w:sz w:val="17"/>
        </w:rPr>
        <w:t xml:space="preserve">Zitiervorschlag: § 2 ID211677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https://recht.nulegal.eu/gesetze/ID211677/2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