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ID211677 (Brandenburg)</w:t>
      </w:r>
    </w:p>
    <w:p>
      <w:r>
        <w:rPr>
          <w:color w:val="555555"/>
          <w:sz w:val="18"/>
        </w:rPr>
        <w:t xml:space="preserve">Gesetz über die Errichtung der Liegenschafts- und Bauämter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Zusammenlegung der Grundstücks- und Vermögensämter und der Landesbauämter werden die Liegenschafts- und Bauämter als sonstige untere Landesbehörde nach § 7 Abs. 3 des Landesorganisationsgesetzes errichtet.</w:t>
      </w:r>
    </w:p>
    <w:p>
      <w:r>
        <w:rPr>
          <w:color w:val="555555"/>
          <w:sz w:val="17"/>
        </w:rPr>
        <w:t xml:space="preserve">Zitiervorschlag: § 1 ID211677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https://recht.nulegal.eu/gesetze/ID211677/1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