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ID211669 (Brandenburg)</w:t>
      </w:r>
    </w:p>
    <w:p>
      <w:r>
        <w:rPr>
          <w:color w:val="555555"/>
          <w:sz w:val="18"/>
        </w:rPr>
        <w:t xml:space="preserve">Gesetz über den Vermögens und Personalübergang der staatlichen Schulämter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Zuweisungen aus Mitteln der Verbundmasse als Ausgleich für die</w:t>
      </w:r>
    </w:p>
    <w:p>
      <w:r>
        <w:t xml:space="preserve">Wahrnehmung übertragener Aufgaben werden im Jahr 2002 in Höhe</w:t>
      </w:r>
    </w:p>
    <w:p>
      <w:r>
        <w:t xml:space="preserve">der Entlastung der Landkreise und kreisfreien Städte durch die Bildung</w:t>
      </w:r>
    </w:p>
    <w:p>
      <w:r>
        <w:t xml:space="preserve">regional zuständiger staatlicher Schulämter gekürzt.</w:t>
      </w:r>
    </w:p>
    <w:p>
      <w:r>
        <w:rPr>
          <w:color w:val="555555"/>
          <w:sz w:val="17"/>
        </w:rPr>
        <w:t xml:space="preserve">Zitiervorschlag: § 2 ID211669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https://recht.nulegal.eu/gesetze/ID211669/2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