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ID211669 (Brandenburg)</w:t>
      </w:r>
    </w:p>
    <w:p>
      <w:r>
        <w:rPr>
          <w:color w:val="555555"/>
          <w:sz w:val="18"/>
        </w:rPr>
        <w:t xml:space="preserve">Gesetz über den Vermögens und Personalübergang der staatlichen Schulämter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Landkreise und kreisfreien Städten (beteiligte</w:t>
      </w:r>
    </w:p>
    <w:p>
      <w:r>
        <w:t xml:space="preserve">Gebietskörperschaften) sind verpflichtet, dem Land unentgeltlich das</w:t>
      </w:r>
    </w:p>
    <w:p>
      <w:r>
        <w:t xml:space="preserve">bewegliche Vermögen, welches bis zum Ablauf des 31. Dezember 2001</w:t>
      </w:r>
    </w:p>
    <w:p>
      <w:r>
        <w:t xml:space="preserve">ausschließlich zur Wahrnehmung der übergehenden Aufgaben der</w:t>
      </w:r>
    </w:p>
    <w:p>
      <w:r>
        <w:t xml:space="preserve">staatlichen Schulämter genutzt wurde, zu übertragen. Die beteiligten</w:t>
      </w:r>
    </w:p>
    <w:p>
      <w:r>
        <w:t xml:space="preserve">Gebietskörperschaften sind verpflichtet, dem Land unentgeltlich ab dem</w:t>
      </w:r>
    </w:p>
    <w:p>
      <w:r>
        <w:t xml:space="preserve">1. Januar 2002 für die Dauer von fünf Jahren die Nutzung der</w:t>
      </w:r>
    </w:p>
    <w:p>
      <w:r>
        <w:t xml:space="preserve">Grundstücke einzuräumen, die bisher für die Unterbringung</w:t>
      </w:r>
    </w:p>
    <w:p>
      <w:r>
        <w:t xml:space="preserve">von staatlichen Schulämtern genutzt worden sind. Dafür können</w:t>
      </w:r>
    </w:p>
    <w:p>
      <w:r>
        <w:t xml:space="preserve">auch angemessene Ersatzgrundstücke und Ersatzgebäude angeboten</w:t>
      </w:r>
    </w:p>
    <w:p>
      <w:r>
        <w:t xml:space="preserve">werden. Die Beteiligten können einvernehmlich eine andere Regelung treffen.</w:t>
      </w:r>
    </w:p>
    <w:p>
      <w:r>
        <w:t xml:space="preserve">Das Nähere regelt eine Rechtsverordnung der Landesregierung.</w:t>
      </w:r>
    </w:p>
    <w:p>
      <w:r>
        <w:t xml:space="preserve">(2) Soweit die Verwaltungsaufgaben in den staatlichen Schulämtern auf</w:t>
      </w:r>
    </w:p>
    <w:p>
      <w:r>
        <w:t xml:space="preserve">das Land übergehen, werden die Arbeitnehmerinnen und Arbeitnehmer, die</w:t>
      </w:r>
    </w:p>
    <w:p>
      <w:r>
        <w:t xml:space="preserve">diese Aufgaben bisher wahrgenommen haben, nach Maßgabe der nachfolgenden</w:t>
      </w:r>
    </w:p>
    <w:p>
      <w:r>
        <w:t xml:space="preserve">Regelungen in den Dienst des Landes übernommen. Für die von der</w:t>
      </w:r>
    </w:p>
    <w:p>
      <w:r>
        <w:t xml:space="preserve">Überleitung betroffenen Beamten gelten die Bestimmungen der §§</w:t>
      </w:r>
    </w:p>
    <w:p>
      <w:r>
        <w:t xml:space="preserve">128 bis 133 des Beamtenrechtsrahmengesetzes.</w:t>
      </w:r>
    </w:p>
    <w:p>
      <w:r>
        <w:t xml:space="preserve">(3) Die beteiligten Gebietskörperschaften und das Land haben auf Vorschlag</w:t>
      </w:r>
    </w:p>
    <w:p>
      <w:r>
        <w:t xml:space="preserve">der beteiligten Gebietskörperschaften im Einvernehmen miteinander zu</w:t>
      </w:r>
    </w:p>
    <w:p>
      <w:r>
        <w:t xml:space="preserve">bestimmen, welche Arbeitnehmerinnen und Arbeitnehmer zu übernehmen sind.</w:t>
      </w:r>
    </w:p>
    <w:p>
      <w:r>
        <w:t xml:space="preserve">Zu diesem Zweck bilden das Land und die betroffenen Gebietskörperschaften</w:t>
      </w:r>
    </w:p>
    <w:p>
      <w:r>
        <w:t xml:space="preserve">eine oder mehrere Personalüberleitungskommissionen für den</w:t>
      </w:r>
    </w:p>
    <w:p>
      <w:r>
        <w:t xml:space="preserve">überzuleitenden Aufgabenbereich. Diese sollen sich spätestens sechs</w:t>
      </w:r>
    </w:p>
    <w:p>
      <w:r>
        <w:t xml:space="preserve">Monate vor dem gesetzlichen Aufgabenübergang konstituieren.</w:t>
      </w:r>
    </w:p>
    <w:p>
      <w:r>
        <w:t xml:space="preserve">(4) Eine Personalüberleitungskommission soll aus je zwei Vertreterinnen</w:t>
      </w:r>
    </w:p>
    <w:p>
      <w:r>
        <w:t xml:space="preserve">oder Vertretern des Landes und der betroffenen Gebietskörperschaft bestehen.</w:t>
      </w:r>
    </w:p>
    <w:p>
      <w:r>
        <w:t xml:space="preserve">Der Personalüberleitungskommission gehört außerdem je ein</w:t>
      </w:r>
    </w:p>
    <w:p>
      <w:r>
        <w:t xml:space="preserve">von den zuständigen Personalvertretungen beider Seiten bestelltes Mitglied</w:t>
      </w:r>
    </w:p>
    <w:p>
      <w:r>
        <w:t xml:space="preserve">mit beratender Stimme an. Die stimmberechtigten Mitglieder der</w:t>
      </w:r>
    </w:p>
    <w:p>
      <w:r>
        <w:t xml:space="preserve">Personalüberleitungskommission entscheiden einvernehmlich, wie viel</w:t>
      </w:r>
    </w:p>
    <w:p>
      <w:r>
        <w:t xml:space="preserve">und welche Arbeitnehmerinnen und Arbeitnehmer zu übernehmen sind. Den</w:t>
      </w:r>
    </w:p>
    <w:p>
      <w:r>
        <w:t xml:space="preserve">betroffenen Personalvertretungen ist vor einer Entscheidung der</w:t>
      </w:r>
    </w:p>
    <w:p>
      <w:r>
        <w:t xml:space="preserve">Personalüberleitungskommission Gelegenheit zur Stellungnahme zu geben.</w:t>
      </w:r>
    </w:p>
    <w:p>
      <w:r>
        <w:t xml:space="preserve">Bestehende Rechte nach dem Landespersonalvertretungsgesetz bleiben</w:t>
      </w:r>
    </w:p>
    <w:p>
      <w:r>
        <w:t xml:space="preserve">unberührt. Bei der Entscheidung sind insbesondere die sozialen Belange</w:t>
      </w:r>
    </w:p>
    <w:p>
      <w:r>
        <w:t xml:space="preserve">der einzelnen Arbeitnehmerinnen und Arbeitnehmer zu berücksichtigen.</w:t>
      </w:r>
    </w:p>
    <w:p>
      <w:r>
        <w:t xml:space="preserve">(5) Kommt eine Einigung in der Personalüberleitungskommission bis</w:t>
      </w:r>
    </w:p>
    <w:p>
      <w:r>
        <w:t xml:space="preserve">spätestens drei Monate vor dem Aufgabenübergang nicht zustande,</w:t>
      </w:r>
    </w:p>
    <w:p>
      <w:r>
        <w:t xml:space="preserve">entscheidet eine neutrale Person als Schlichter, die von der</w:t>
      </w:r>
    </w:p>
    <w:p>
      <w:r>
        <w:t xml:space="preserve">Personalüberleitungskommission einvernehmlich zu bestimmen ist. Kommt</w:t>
      </w:r>
    </w:p>
    <w:p>
      <w:r>
        <w:t xml:space="preserve">ein Einvernehmen über die Person des Schlichters nicht zustande, so</w:t>
      </w:r>
    </w:p>
    <w:p>
      <w:r>
        <w:t xml:space="preserve">benennt der Präsident des Landesarbeitsgerichts eine geeignete</w:t>
      </w:r>
    </w:p>
    <w:p>
      <w:r>
        <w:t xml:space="preserve">Persönlichkeit.</w:t>
      </w:r>
    </w:p>
    <w:p>
      <w:r>
        <w:t xml:space="preserve">(6) Soweit es für das Verfahren nach Absatz 4 oder Absatz 5 Satz 1</w:t>
      </w:r>
    </w:p>
    <w:p>
      <w:r>
        <w:t xml:space="preserve">notwendig ist, sind den Personalüberleitungskommissionen, dem Schlichter</w:t>
      </w:r>
    </w:p>
    <w:p>
      <w:r>
        <w:t xml:space="preserve">und den betroffenen Personalvertretungen die hierfür erforderlichen</w:t>
      </w:r>
    </w:p>
    <w:p>
      <w:r>
        <w:t xml:space="preserve">Personaldaten zur Verfügung zu stellen.</w:t>
      </w:r>
    </w:p>
    <w:p>
      <w:r>
        <w:t xml:space="preserve">(7) Die Entscheidung gemäß Absatz 4 Satz 3 oder Absatz 5 Satz 1</w:t>
      </w:r>
    </w:p>
    <w:p>
      <w:r>
        <w:t xml:space="preserve">ist durch das zuständige Mitglied der Landesregierung den Arbeitnehmerinnen</w:t>
      </w:r>
    </w:p>
    <w:p>
      <w:r>
        <w:t xml:space="preserve">und Arbeitnehmern unverzüglich zuzustellen. Die Arbeitnehmerin oder</w:t>
      </w:r>
    </w:p>
    <w:p>
      <w:r>
        <w:t xml:space="preserve">der Arbeitnehmer kann innerhalb einer Frist von 14 Kalendertagen nach Zustellung</w:t>
      </w:r>
    </w:p>
    <w:p>
      <w:r>
        <w:t xml:space="preserve">der Entscheidung gegen diese beim zuständigen Mitglied der Landesregierung</w:t>
      </w:r>
    </w:p>
    <w:p>
      <w:r>
        <w:t xml:space="preserve">Widerspruch einlegen. Hat die Arbeitnehmerin oder der Arbeitnehmer nach</w:t>
      </w:r>
    </w:p>
    <w:p>
      <w:r>
        <w:t xml:space="preserve">Satz 2 Widerspruch eingelegt, so besteht das Arbeitsverhältnis</w:t>
      </w:r>
    </w:p>
    <w:p>
      <w:r>
        <w:t xml:space="preserve">mit der Gebietskörperschaft weiter.</w:t>
      </w:r>
    </w:p>
    <w:p>
      <w:r>
        <w:t xml:space="preserve">(8) Mit dem Zeitpunkt des Übergangs der Verwaltungsaufgaben gehen alle</w:t>
      </w:r>
    </w:p>
    <w:p>
      <w:r>
        <w:t xml:space="preserve">Rechte und Pflichten aus dem bisherigen Arbeitsverhältnis der Arbeitnehmerin</w:t>
      </w:r>
    </w:p>
    <w:p>
      <w:r>
        <w:t xml:space="preserve">oder des Arbeitnehmers auf das Land über, soweit die Arbeitnehmerin</w:t>
      </w:r>
    </w:p>
    <w:p>
      <w:r>
        <w:t xml:space="preserve">oder der Arbeitnehmer nicht Widerspruch nach Absatz 7 eingelegt hat. Das</w:t>
      </w:r>
    </w:p>
    <w:p>
      <w:r>
        <w:t xml:space="preserve">Recht zur betriebsbedingten ordentlichen Kündigung und</w:t>
      </w:r>
    </w:p>
    <w:p>
      <w:r>
        <w:t xml:space="preserve">Änderungskündigung ist gegenüber den übernommenen</w:t>
      </w:r>
    </w:p>
    <w:p>
      <w:r>
        <w:t xml:space="preserve">Arbeitnehmerinnen und Arbeitnehmern für ein Jahr ab dem Zeitpunkt der</w:t>
      </w:r>
    </w:p>
    <w:p>
      <w:r>
        <w:t xml:space="preserve">Übernahme der Verwaltungsaufgaben ausgeschlossen.</w:t>
      </w:r>
    </w:p>
    <w:p>
      <w:r>
        <w:rPr>
          <w:color w:val="555555"/>
          <w:sz w:val="17"/>
        </w:rPr>
        <w:t xml:space="preserve">Zitiervorschlag: § 1 ID211669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https://recht.nulegal.eu/gesetze/ID211669/1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