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ID211647 (Brandenburg) — Organisationsform</w:t>
      </w:r>
    </w:p>
    <w:p>
      <w:r>
        <w:rPr>
          <w:color w:val="555555"/>
          <w:sz w:val="18"/>
        </w:rPr>
        <w:t xml:space="preserve">Gesetz über die Umwandlung der Landesoberbehörde Landesvermessungsamt Brandenburg in einen Landesbetrieb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Landesvermessungsamt Brandenburg wird in einen Landesbetrieb umgewandelt und erhält den Namen „Landesvermessung und Geobasisinformation Brandenburg“ (LGB).</w:t>
      </w:r>
    </w:p>
    <w:p>
      <w:r>
        <w:rPr>
          <w:color w:val="555555"/>
          <w:sz w:val="17"/>
        </w:rPr>
        <w:t xml:space="preserve">Zitiervorschlag: § 1 ID211647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https://recht.nulegal.eu/gesetze/ID211647/1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